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globalbridge-language-solutions"/>
    <w:p>
      <w:pPr>
        <w:pStyle w:val="Heading1"/>
      </w:pPr>
      <w:r>
        <w:t xml:space="preserve">GlobalBridge Language Solutions</w:t>
      </w:r>
    </w:p>
    <w:p>
      <w:pPr>
        <w:pStyle w:val="FirstParagraph"/>
      </w:pPr>
      <w:r>
        <w:t xml:space="preserve">Professional Translator Interpreter Services</w:t>
      </w:r>
    </w:p>
    <w:p>
      <w:pPr>
        <w:pStyle w:val="BodyText"/>
      </w:pPr>
      <w:r>
        <w:t xml:space="preserve">42-7 Gionmachi, Higashiyama-ku</w:t>
      </w:r>
    </w:p>
    <w:p>
      <w:pPr>
        <w:pStyle w:val="BodyText"/>
      </w:pPr>
      <w:r>
        <w:t xml:space="preserve">Kyoto 605-0073, Japan</w:t>
      </w:r>
    </w:p>
    <w:p>
      <w:pPr>
        <w:pStyle w:val="BodyText"/>
      </w:pPr>
      <w:r>
        <w:t xml:space="preserve">Tel: +81-75-555-0142 | Email: billing@globalbridge-kyoto.jp</w:t>
      </w:r>
    </w:p>
    <w:p>
      <w:pPr>
        <w:pStyle w:val="BodyText"/>
      </w:pPr>
      <w:r>
        <w:t xml:space="preserve">Corporation Registration No. 4010401087654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GBK-2025-00847</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Location:</w:t>
      </w:r>
      <w:r>
        <w:t xml:space="preserve"> </w:t>
      </w:r>
      <w:r>
        <w:t xml:space="preserve">Japan Kyoto</w:t>
      </w:r>
    </w:p>
    <w:p>
      <w:pPr>
        <w:pStyle w:val="BodyText"/>
      </w:pPr>
      <w:r>
        <w:rPr>
          <w:bCs/>
          <w:b/>
        </w:rPr>
        <w:t xml:space="preserve">Payment Terms:</w:t>
      </w:r>
      <w:r>
        <w:t xml:space="preserve"> </w:t>
      </w:r>
      <w:r>
        <w:t xml:space="preserve">Net 30 Days</w:t>
      </w:r>
    </w:p>
    <w:bookmarkEnd w:id="21"/>
    <w:bookmarkStart w:id="22" w:name="billed-to"/>
    <w:p>
      <w:pPr>
        <w:pStyle w:val="Heading3"/>
      </w:pPr>
      <w:r>
        <w:t xml:space="preserve">Billed To</w:t>
      </w:r>
    </w:p>
    <w:p>
      <w:pPr>
        <w:pStyle w:val="FirstParagraph"/>
      </w:pPr>
      <w:r>
        <w:rPr>
          <w:bCs/>
          <w:b/>
        </w:rPr>
        <w:t xml:space="preserve">Meridian International Trade Co., Ltd.</w:t>
      </w:r>
    </w:p>
    <w:p>
      <w:pPr>
        <w:pStyle w:val="BodyText"/>
      </w:pPr>
      <w:r>
        <w:t xml:space="preserve">Attn: Mr. Hiroshi Tanaka, Procurement Director</w:t>
      </w:r>
    </w:p>
    <w:p>
      <w:pPr>
        <w:pStyle w:val="BodyText"/>
      </w:pPr>
      <w:r>
        <w:t xml:space="preserve">18-3 Shijo-dori, Nakagyo-ku</w:t>
      </w:r>
    </w:p>
    <w:p>
      <w:pPr>
        <w:pStyle w:val="BodyText"/>
      </w:pPr>
      <w:r>
        <w:t xml:space="preserve">Kyoto 604-8082, Japan</w:t>
      </w:r>
    </w:p>
    <w:p>
      <w:pPr>
        <w:pStyle w:val="BodyText"/>
      </w:pPr>
      <w:r>
        <w:t xml:space="preserve">Tax ID: 9010001234567</w:t>
      </w:r>
    </w:p>
    <w:bookmarkEnd w:id="22"/>
    <w:bookmarkStart w:id="23" w:name="service-details"/>
    <w:p>
      <w:pPr>
        <w:pStyle w:val="Heading3"/>
      </w:pPr>
      <w:r>
        <w:t xml:space="preserve">Service Details</w:t>
      </w:r>
    </w:p>
    <w:p>
      <w:pPr>
        <w:pStyle w:val="FirstParagraph"/>
      </w:pPr>
      <w:r>
        <w:rPr>
          <w:bCs/>
          <w:b/>
        </w:rPr>
        <w:t xml:space="preserve">Project:</w:t>
      </w:r>
      <w:r>
        <w:t xml:space="preserve"> </w:t>
      </w:r>
      <w:r>
        <w:t xml:space="preserve">Annual Trade Summit 2025</w:t>
      </w:r>
    </w:p>
    <w:p>
      <w:pPr>
        <w:pStyle w:val="BodyText"/>
      </w:pPr>
      <w:r>
        <w:rPr>
          <w:bCs/>
          <w:b/>
        </w:rPr>
        <w:t xml:space="preserve">Language Pair:</w:t>
      </w:r>
      <w:r>
        <w:t xml:space="preserve"> </w:t>
      </w:r>
      <w:r>
        <w:t xml:space="preserve">English / Japanese</w:t>
      </w:r>
    </w:p>
    <w:p>
      <w:pPr>
        <w:pStyle w:val="BodyText"/>
      </w:pPr>
      <w:r>
        <w:rPr>
          <w:bCs/>
          <w:b/>
        </w:rPr>
        <w:t xml:space="preserve">Translator Interpreter Assigned:</w:t>
      </w:r>
      <w:r>
        <w:t xml:space="preserve"> </w:t>
      </w:r>
      <w:r>
        <w:t xml:space="preserve">Ms. Yuki Nakamura (Certified)</w:t>
      </w:r>
    </w:p>
    <w:p>
      <w:pPr>
        <w:pStyle w:val="BodyText"/>
      </w:pPr>
      <w:r>
        <w:rPr>
          <w:bCs/>
          <w:b/>
        </w:rPr>
        <w:t xml:space="preserve">Service Period:</w:t>
      </w:r>
      <w:r>
        <w:t xml:space="preserve"> </w:t>
      </w:r>
      <w:r>
        <w:t xml:space="preserve">June 2 – June 8, 2025</w:t>
      </w:r>
    </w:p>
    <w:p>
      <w:pPr>
        <w:pStyle w:val="BodyText"/>
      </w:pPr>
      <w:r>
        <w:rPr>
          <w:bCs/>
          <w:b/>
        </w:rPr>
        <w:t xml:space="preserve">Location:</w:t>
      </w:r>
      <w:r>
        <w:t xml:space="preserve"> </w:t>
      </w:r>
      <w:r>
        <w:t xml:space="preserve">Kyoto International Conference Center, Japan Kyoto</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Translator Interpreter – Simultaneous Interpretation for Opening Ceremony and Keynote Addresses (English to Japanese and Japanese to English)</w:t>
            </w:r>
          </w:p>
        </w:tc>
        <w:tc>
          <w:tcPr/>
          <w:p>
            <w:pPr>
              <w:pStyle w:val="Compact"/>
              <w:jc w:val="left"/>
            </w:pPr>
            <w:r>
              <w:t xml:space="preserve">Jun 2, 2025</w:t>
            </w:r>
          </w:p>
        </w:tc>
        <w:tc>
          <w:tcPr/>
          <w:p>
            <w:pPr>
              <w:pStyle w:val="Compact"/>
              <w:jc w:val="left"/>
            </w:pPr>
            <w:r>
              <w:t xml:space="preserve">8.0</w:t>
            </w:r>
          </w:p>
        </w:tc>
        <w:tc>
          <w:tcPr/>
          <w:p>
            <w:pPr>
              <w:pStyle w:val="Compact"/>
              <w:jc w:val="left"/>
            </w:pPr>
            <w:r>
              <w:t xml:space="preserve">18,000</w:t>
            </w:r>
          </w:p>
        </w:tc>
        <w:tc>
          <w:tcPr/>
          <w:p>
            <w:pPr>
              <w:pStyle w:val="Compact"/>
              <w:jc w:val="left"/>
            </w:pPr>
            <w:r>
              <w:t xml:space="preserve">144,000</w:t>
            </w:r>
          </w:p>
        </w:tc>
      </w:tr>
      <w:tr>
        <w:tc>
          <w:tcPr/>
          <w:p>
            <w:pPr>
              <w:pStyle w:val="Compact"/>
              <w:jc w:val="left"/>
            </w:pPr>
            <w:r>
              <w:t xml:space="preserve">2</w:t>
            </w:r>
          </w:p>
        </w:tc>
        <w:tc>
          <w:tcPr/>
          <w:p>
            <w:pPr>
              <w:pStyle w:val="Compact"/>
              <w:jc w:val="left"/>
            </w:pPr>
            <w:r>
              <w:t xml:space="preserve">Translator Interpreter – Consecutive Interpretation for Bilateral Trade Negotiation Sessions (Delegation of 12 participants)</w:t>
            </w:r>
          </w:p>
        </w:tc>
        <w:tc>
          <w:tcPr/>
          <w:p>
            <w:pPr>
              <w:pStyle w:val="Compact"/>
              <w:jc w:val="left"/>
            </w:pPr>
            <w:r>
              <w:t xml:space="preserve">Jun 3 – Jun 4, 2025</w:t>
            </w:r>
          </w:p>
        </w:tc>
        <w:tc>
          <w:tcPr/>
          <w:p>
            <w:pPr>
              <w:pStyle w:val="Compact"/>
              <w:jc w:val="left"/>
            </w:pPr>
            <w:r>
              <w:t xml:space="preserve">16.0</w:t>
            </w:r>
          </w:p>
        </w:tc>
        <w:tc>
          <w:tcPr/>
          <w:p>
            <w:pPr>
              <w:pStyle w:val="Compact"/>
              <w:jc w:val="left"/>
            </w:pPr>
            <w:r>
              <w:t xml:space="preserve">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Translator Interpreter – Document Translation and Real-time Terminology Support for Technical Presentations (Manufacturing and Logistics)</w:t>
            </w:r>
          </w:p>
        </w:tc>
        <w:tc>
          <w:tcPr/>
          <w:p>
            <w:pPr>
              <w:pStyle w:val="Compact"/>
              <w:jc w:val="left"/>
            </w:pPr>
            <w:r>
              <w:t xml:space="preserve">Jun 5, 2025</w:t>
            </w:r>
          </w:p>
        </w:tc>
        <w:tc>
          <w:tcPr/>
          <w:p>
            <w:pPr>
              <w:pStyle w:val="Compact"/>
              <w:jc w:val="left"/>
            </w:pPr>
            <w:r>
              <w:t xml:space="preserve">10.0</w:t>
            </w:r>
          </w:p>
        </w:tc>
        <w:tc>
          <w:tcPr/>
          <w:p>
            <w:pPr>
              <w:pStyle w:val="Compact"/>
              <w:jc w:val="left"/>
            </w:pPr>
            <w:r>
              <w:t xml:space="preserve">15,000</w:t>
            </w:r>
          </w:p>
        </w:tc>
        <w:tc>
          <w:tcPr/>
          <w:p>
            <w:pPr>
              <w:pStyle w:val="Compact"/>
              <w:jc w:val="left"/>
            </w:pPr>
            <w:r>
              <w:t xml:space="preserve">150,000</w:t>
            </w:r>
          </w:p>
        </w:tc>
      </w:tr>
      <w:tr>
        <w:tc>
          <w:tcPr/>
          <w:p>
            <w:pPr>
              <w:pStyle w:val="Compact"/>
              <w:jc w:val="left"/>
            </w:pPr>
            <w:r>
              <w:t xml:space="preserve">4</w:t>
            </w:r>
          </w:p>
        </w:tc>
        <w:tc>
          <w:tcPr/>
          <w:p>
            <w:pPr>
              <w:pStyle w:val="Compact"/>
              <w:jc w:val="left"/>
            </w:pPr>
            <w:r>
              <w:t xml:space="preserve">Translator Interpreter – On-site Liaison and Cultural Mediation Services during Networking Reception and Guided Tour of Kyoto Heritage Sites</w:t>
            </w:r>
          </w:p>
        </w:tc>
        <w:tc>
          <w:tcPr/>
          <w:p>
            <w:pPr>
              <w:pStyle w:val="Compact"/>
              <w:jc w:val="left"/>
            </w:pPr>
            <w:r>
              <w:t xml:space="preserve">Jun 6, 2025</w:t>
            </w:r>
          </w:p>
        </w:tc>
        <w:tc>
          <w:tcPr/>
          <w:p>
            <w:pPr>
              <w:pStyle w:val="Compact"/>
              <w:jc w:val="left"/>
            </w:pPr>
            <w:r>
              <w:t xml:space="preserve">6.0</w:t>
            </w:r>
          </w:p>
        </w:tc>
        <w:tc>
          <w:tcPr/>
          <w:p>
            <w:pPr>
              <w:pStyle w:val="Compact"/>
              <w:jc w:val="left"/>
            </w:pPr>
            <w:r>
              <w:t xml:space="preserve">14,000</w:t>
            </w:r>
          </w:p>
        </w:tc>
        <w:tc>
          <w:tcPr/>
          <w:p>
            <w:pPr>
              <w:pStyle w:val="Compact"/>
              <w:jc w:val="left"/>
            </w:pPr>
            <w:r>
              <w:t xml:space="preserve">84,000</w:t>
            </w:r>
          </w:p>
        </w:tc>
      </w:tr>
      <w:tr>
        <w:tc>
          <w:tcPr/>
          <w:p>
            <w:pPr>
              <w:pStyle w:val="Compact"/>
              <w:jc w:val="left"/>
            </w:pPr>
            <w:r>
              <w:t xml:space="preserve">5</w:t>
            </w:r>
          </w:p>
        </w:tc>
        <w:tc>
          <w:tcPr/>
          <w:p>
            <w:pPr>
              <w:pStyle w:val="Compact"/>
              <w:jc w:val="left"/>
            </w:pPr>
            <w:r>
              <w:t xml:space="preserve">Translator Interpreter – Closing Remarks Interpretation and Post-Event Written Summary Translation (4,200 words)</w:t>
            </w:r>
          </w:p>
        </w:tc>
        <w:tc>
          <w:tcPr/>
          <w:p>
            <w:pPr>
              <w:pStyle w:val="Compact"/>
              <w:jc w:val="left"/>
            </w:pPr>
            <w:r>
              <w:t xml:space="preserve">Jun 7 – Jun 8, 2025</w:t>
            </w:r>
          </w:p>
        </w:tc>
        <w:tc>
          <w:tcPr/>
          <w:p>
            <w:pPr>
              <w:pStyle w:val="Compact"/>
              <w:jc w:val="left"/>
            </w:pPr>
            <w:r>
              <w:t xml:space="preserve">12.0</w:t>
            </w:r>
          </w:p>
        </w:tc>
        <w:tc>
          <w:tcPr/>
          <w:p>
            <w:pPr>
              <w:pStyle w:val="Compact"/>
              <w:jc w:val="left"/>
            </w:pPr>
            <w:r>
              <w:t xml:space="preserve">16,000</w:t>
            </w:r>
          </w:p>
        </w:tc>
        <w:tc>
          <w:tcPr/>
          <w:p>
            <w:pPr>
              <w:pStyle w:val="Compact"/>
              <w:jc w:val="left"/>
            </w:pPr>
            <w:r>
              <w:t xml:space="preserve">192,000</w:t>
            </w:r>
          </w:p>
        </w:tc>
      </w:tr>
      <w:tr>
        <w:tc>
          <w:tcPr/>
          <w:p>
            <w:pPr>
              <w:pStyle w:val="Compact"/>
              <w:jc w:val="left"/>
            </w:pPr>
            <w:r>
              <w:t xml:space="preserve">6</w:t>
            </w:r>
          </w:p>
        </w:tc>
        <w:tc>
          <w:tcPr/>
          <w:p>
            <w:pPr>
              <w:pStyle w:val="Compact"/>
              <w:jc w:val="left"/>
            </w:pPr>
            <w:r>
              <w:t xml:space="preserve">Travel and Accommodation Allowance – Translator Interpreter on-site presence in Japan Kyoto (7 nights, business class rail, local transport)</w:t>
            </w:r>
          </w:p>
        </w:tc>
        <w:tc>
          <w:tcPr/>
          <w:p>
            <w:pPr>
              <w:pStyle w:val="Compact"/>
              <w:jc w:val="left"/>
            </w:pPr>
            <w:r>
              <w:t xml:space="preserve">Jun 1 – Jun 9, 2025</w:t>
            </w:r>
          </w:p>
        </w:tc>
        <w:tc>
          <w:tcPr/>
          <w:p>
            <w:pPr>
              <w:pStyle w:val="Compact"/>
              <w:jc w:val="left"/>
            </w:pPr>
            <w:r>
              <w:t xml:space="preserve">—</w:t>
            </w:r>
          </w:p>
        </w:tc>
        <w:tc>
          <w:tcPr/>
          <w:p>
            <w:pPr>
              <w:pStyle w:val="Compact"/>
              <w:jc w:val="left"/>
            </w:pPr>
            <w:r>
              <w:t xml:space="preserve">—</w:t>
            </w:r>
          </w:p>
        </w:tc>
        <w:tc>
          <w:tcPr/>
          <w:p>
            <w:pPr>
              <w:pStyle w:val="Compact"/>
              <w:jc w:val="left"/>
            </w:pPr>
            <w:r>
              <w:t xml:space="preserve">185,000</w:t>
            </w:r>
          </w:p>
        </w:tc>
      </w:tr>
      <w:tr>
        <w:tc>
          <w:tcPr/>
          <w:p>
            <w:pPr>
              <w:pStyle w:val="Compact"/>
              <w:jc w:val="left"/>
            </w:pPr>
            <w:r>
              <w:t xml:space="preserve">7</w:t>
            </w:r>
          </w:p>
        </w:tc>
        <w:tc>
          <w:tcPr/>
          <w:p>
            <w:pPr>
              <w:pStyle w:val="Compact"/>
              <w:jc w:val="left"/>
            </w:pPr>
            <w:r>
              <w:t xml:space="preserve">Emergency Standby Fee – Translator Interpreter on-call availability for unscheduled press interviews and media inquiries</w:t>
            </w:r>
          </w:p>
        </w:tc>
        <w:tc>
          <w:tcPr/>
          <w:p>
            <w:pPr>
              <w:pStyle w:val="Compact"/>
              <w:jc w:val="left"/>
            </w:pPr>
            <w:r>
              <w:t xml:space="preserve">Jun 2 – Jun 8, 2025</w:t>
            </w:r>
          </w:p>
        </w:tc>
        <w:tc>
          <w:tcPr/>
          <w:p>
            <w:pPr>
              <w:pStyle w:val="Compact"/>
              <w:jc w:val="left"/>
            </w:pPr>
            <w:r>
              <w:t xml:space="preserve">—</w:t>
            </w:r>
          </w:p>
        </w:tc>
        <w:tc>
          <w:tcPr/>
          <w:p>
            <w:pPr>
              <w:pStyle w:val="Compact"/>
              <w:jc w:val="left"/>
            </w:pPr>
            <w:r>
              <w:t xml:space="preserve">—</w:t>
            </w:r>
          </w:p>
        </w:tc>
        <w:tc>
          <w:tcPr/>
          <w:p>
            <w:pPr>
              <w:pStyle w:val="Compact"/>
              <w:jc w:val="left"/>
            </w:pPr>
            <w:r>
              <w:t xml:space="preserve">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1,120,000 JPY</w:t>
            </w:r>
          </w:p>
        </w:tc>
      </w:tr>
      <w:tr>
        <w:tc>
          <w:tcPr/>
          <w:p>
            <w:pPr>
              <w:pStyle w:val="Compact"/>
              <w:jc w:val="left"/>
            </w:pPr>
            <w:r>
              <w:t xml:space="preserve">Consumption Tax (10%)</w:t>
            </w:r>
          </w:p>
        </w:tc>
        <w:tc>
          <w:tcPr/>
          <w:p>
            <w:pPr>
              <w:pStyle w:val="Compact"/>
              <w:jc w:val="left"/>
            </w:pPr>
            <w:r>
              <w:t xml:space="preserve">112,000 JPY</w:t>
            </w:r>
          </w:p>
        </w:tc>
      </w:tr>
      <w:tr>
        <w:tc>
          <w:tcPr/>
          <w:p>
            <w:pPr>
              <w:pStyle w:val="Compact"/>
              <w:jc w:val="left"/>
            </w:pPr>
            <w:r>
              <w:t xml:space="preserve">Total Amount Due</w:t>
            </w:r>
          </w:p>
        </w:tc>
        <w:tc>
          <w:tcPr/>
          <w:p>
            <w:pPr>
              <w:pStyle w:val="Compact"/>
              <w:jc w:val="left"/>
            </w:pPr>
            <w:r>
              <w:t xml:space="preserve">1,232,000 JPY</w:t>
            </w:r>
          </w:p>
        </w:tc>
      </w:tr>
    </w:tbl>
    <w:bookmarkStart w:id="24" w:name="invoice-notes-and-terms-of-service"/>
    <w:p>
      <w:pPr>
        <w:pStyle w:val="Heading3"/>
      </w:pPr>
      <w:r>
        <w:t xml:space="preserve">Invoice Notes and Terms of Service</w:t>
      </w:r>
    </w:p>
    <w:p>
      <w:pPr>
        <w:pStyle w:val="FirstParagraph"/>
      </w:pPr>
      <w:r>
        <w:t xml:space="preserve">This Invoice is issued by GlobalBridge Language Solutions in connection with the provision of professional Translator Interpreter services rendered in Japan Kyoto during the period specified above. The Translator Interpreter assigned to this engagement, Ms. Yuki Nakamura, holds a certified qualification from the Japan Translation Association and possesses over twelve years of experience in simultaneous and consecutive interpretation for international trade delegations operating in the Japan Kyoto metropolitan area.</w:t>
      </w:r>
    </w:p>
    <w:p>
      <w:pPr>
        <w:pStyle w:val="BodyText"/>
      </w:pPr>
      <w:r>
        <w:t xml:space="preserve">All services described in this Invoice were performed in accordance with the Master Service Agreement (Contract No. MSA-2025-0312) executed between the parties on March 15, 2025. The Translator Interpreter adhered to strict confidentiality protocols as outlined in Section 7 of the agreement, ensuring that all proprietary trade information, negotiation strategies, and technical specifications discussed during the sessions in Japan Kyoto remain fully protected.</w:t>
      </w:r>
    </w:p>
    <w:p>
      <w:pPr>
        <w:numPr>
          <w:ilvl w:val="0"/>
          <w:numId w:val="1001"/>
        </w:numPr>
        <w:pStyle w:val="Compact"/>
      </w:pPr>
      <w:r>
        <w:t xml:space="preserve">Payment is due within thirty (30) calendar days from the Invoice date via bank transfer to the account specified below. Late payments shall accrue interest at a rate of 1.5% per month as stipulated in the Master Service Agreement.</w:t>
      </w:r>
    </w:p>
    <w:p>
      <w:pPr>
        <w:numPr>
          <w:ilvl w:val="0"/>
          <w:numId w:val="1001"/>
        </w:numPr>
        <w:pStyle w:val="Compact"/>
      </w:pPr>
      <w:r>
        <w:t xml:space="preserve">This Invoice is valid for 90 days from the date of issue. After this period, the charges may be subject to re-evaluation based on current market rates for Translator Interpreter services in Japan Kyoto.</w:t>
      </w:r>
    </w:p>
    <w:p>
      <w:pPr>
        <w:numPr>
          <w:ilvl w:val="0"/>
          <w:numId w:val="1001"/>
        </w:numPr>
        <w:pStyle w:val="Compact"/>
      </w:pPr>
      <w:r>
        <w:t xml:space="preserve">Should the client require additional Translator Interpreter hours beyond those itemized in this Invoice, a supplemental Invoice will be issued within five business days of the additional service delivery.</w:t>
      </w:r>
    </w:p>
    <w:p>
      <w:pPr>
        <w:numPr>
          <w:ilvl w:val="0"/>
          <w:numId w:val="1001"/>
        </w:numPr>
        <w:pStyle w:val="Compact"/>
      </w:pPr>
      <w:r>
        <w:t xml:space="preserve">All interpretation and translation deliverables produced under this engagement are the intellectual property of the client upon full payment of this Invoice. The Translator Interpreter retains no rights to reproduce or distribute the translated materials without written consent.</w:t>
      </w:r>
    </w:p>
    <w:p>
      <w:pPr>
        <w:numPr>
          <w:ilvl w:val="0"/>
          <w:numId w:val="1001"/>
        </w:numPr>
        <w:pStyle w:val="Compact"/>
      </w:pPr>
      <w:r>
        <w:t xml:space="preserve">GlobalBridge Language Solutions maintains full professional liability insurance covering all Translator Interpreter services delivered in Japan Kyoto, with a coverage limit of 100,000,000 JPY per occurrence.</w:t>
      </w:r>
    </w:p>
    <w:p>
      <w:pPr>
        <w:pStyle w:val="FirstParagraph"/>
      </w:pPr>
      <w:r>
        <w:rPr>
          <w:bCs/>
          <w:b/>
        </w:rPr>
        <w:t xml:space="preserve">Bank Details for Payment:</w:t>
      </w:r>
    </w:p>
    <w:p>
      <w:pPr>
        <w:pStyle w:val="BodyText"/>
      </w:pPr>
      <w:r>
        <w:t xml:space="preserve">Bank: Mizuho Bank, Kyoto Central Branch | Account Name: GlobalBridge Language Solutions K.K. | Account No. 214-558-901 | Bank Code: 0009, Branch Code: 001</w:t>
      </w:r>
    </w:p>
    <w:p>
      <w:pPr>
        <w:pStyle w:val="BodyText"/>
      </w:pPr>
      <w:r>
        <w:t xml:space="preserve">Please reference Invoice No. GBK-2025-00847 in all correspondence and payment remittances. For questions regarding this Invoice or to request a revised copy, please contact our billing department at billing@globalbridge-kyoto.jp or by telephone at +81-75-555-0142, Monday through Friday, 9:00 AM to 5:30 PM Japan Standard Time.</w:t>
      </w:r>
    </w:p>
    <w:bookmarkEnd w:id="24"/>
    <w:p>
      <w:pPr>
        <w:pStyle w:val="BodyText"/>
      </w:pPr>
      <w:r>
        <w:t xml:space="preserve">GlobalBridge Language Solutions K.K. | 42-7 Gionmachi, Higashiyama-ku, Kyoto 605-0073, Japan</w:t>
      </w:r>
    </w:p>
    <w:p>
      <w:pPr>
        <w:pStyle w:val="BodyText"/>
      </w:pPr>
      <w:r>
        <w:t xml:space="preserve">Corporation Registration No. 4010401087654 | Representative Director: Kenji Watanabe</w:t>
      </w:r>
    </w:p>
    <w:p>
      <w:pPr>
        <w:pStyle w:val="BodyText"/>
      </w:pPr>
      <w:r>
        <w:t xml:space="preserve">This Invoice was generated electronically and is valid without a physical signature. Thank you for choosing our Translator Interpreter services in Japan Kyoto.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Japan Kyoto</dc:title>
  <dc:creator/>
  <dc:language>en</dc:language>
  <cp:keywords/>
  <dcterms:created xsi:type="dcterms:W3CDTF">2026-10-10T04:08:24Z</dcterms:created>
  <dcterms:modified xsi:type="dcterms:W3CDTF">2026-10-10T04:08:24Z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