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Translator</w:t>
      </w:r>
      <w:r>
        <w:t xml:space="preserve"> </w:t>
      </w:r>
      <w:r>
        <w:t xml:space="preserve">Interpreter</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Jeddah</w:t>
      </w:r>
    </w:p>
    <w:bookmarkStart w:id="20" w:name="al-nakheel-language-services-llc"/>
    <w:p>
      <w:pPr>
        <w:pStyle w:val="Heading1"/>
      </w:pPr>
      <w:r>
        <w:t xml:space="preserve">Al-Nakheel Language Services LLC</w:t>
      </w:r>
    </w:p>
    <w:p>
      <w:pPr>
        <w:pStyle w:val="FirstParagraph"/>
      </w:pPr>
      <w:r>
        <w:t xml:space="preserve">Professional Translator Interpreter Agency</w:t>
      </w:r>
    </w:p>
    <w:p>
      <w:pPr>
        <w:pStyle w:val="BodyText"/>
      </w:pPr>
      <w:r>
        <w:t xml:space="preserve">Office 412, Jeddah Business Tower, Al-Rawdah District</w:t>
      </w:r>
    </w:p>
    <w:p>
      <w:pPr>
        <w:pStyle w:val="BodyText"/>
      </w:pPr>
      <w:r>
        <w:t xml:space="preserve">Saudi Arabia Jeddah 23436, Kingdom of Saudi Arabia</w:t>
      </w:r>
    </w:p>
    <w:p>
      <w:pPr>
        <w:pStyle w:val="BodyText"/>
      </w:pPr>
      <w:r>
        <w:t xml:space="preserve">Phone: +966 12 555 0147 | Email: billing@alnakheel-lang.com</w:t>
      </w:r>
    </w:p>
    <w:p>
      <w:pPr>
        <w:pStyle w:val="BodyText"/>
      </w:pPr>
      <w:r>
        <w:t xml:space="preserve">CR No. 1010XXXXXX | VAT No. 3101XXXXXX00003</w:t>
      </w:r>
    </w:p>
    <w:bookmarkEnd w:id="20"/>
    <w:bookmarkStart w:id="21" w:name="invoice"/>
    <w:p>
      <w:pPr>
        <w:pStyle w:val="Heading2"/>
      </w:pPr>
      <w:r>
        <w:t xml:space="preserve">INVOICE</w:t>
      </w:r>
    </w:p>
    <w:p>
      <w:pPr>
        <w:pStyle w:val="FirstParagraph"/>
      </w:pPr>
      <w:r>
        <w:t xml:space="preserve">Invoice No: ANL-2025-04872</w:t>
      </w:r>
    </w:p>
    <w:p>
      <w:pPr>
        <w:pStyle w:val="BodyText"/>
      </w:pPr>
      <w:r>
        <w:t xml:space="preserve">Date of Issue: 15 June 2025</w:t>
      </w:r>
    </w:p>
    <w:p>
      <w:pPr>
        <w:pStyle w:val="BodyText"/>
      </w:pPr>
      <w:r>
        <w:t xml:space="preserve">Due Date: 30 June 2025</w:t>
      </w:r>
    </w:p>
    <w:p>
      <w:pPr>
        <w:pStyle w:val="BodyText"/>
      </w:pPr>
      <w:r>
        <w:t xml:space="preserve">PENDING PAYMENT</w:t>
      </w:r>
    </w:p>
    <w:bookmarkEnd w:id="21"/>
    <w:bookmarkStart w:id="22" w:name="billed-to"/>
    <w:p>
      <w:pPr>
        <w:pStyle w:val="Heading3"/>
      </w:pPr>
      <w:r>
        <w:t xml:space="preserve">Billed To</w:t>
      </w:r>
    </w:p>
    <w:p>
      <w:pPr>
        <w:pStyle w:val="FirstParagraph"/>
      </w:pPr>
      <w:r>
        <w:t xml:space="preserve">Client:</w:t>
      </w:r>
      <w:r>
        <w:t xml:space="preserve"> </w:t>
      </w:r>
      <w:r>
        <w:t xml:space="preserve">Saudi Industrial Development Group (SIDG)</w:t>
      </w:r>
    </w:p>
    <w:p>
      <w:pPr>
        <w:pStyle w:val="BodyText"/>
      </w:pPr>
      <w:r>
        <w:t xml:space="preserve">Attn:</w:t>
      </w:r>
      <w:r>
        <w:t xml:space="preserve"> </w:t>
      </w:r>
      <w:r>
        <w:t xml:space="preserve">Mr. Khalid Al-Otaibi, Procurement Manager</w:t>
      </w:r>
    </w:p>
    <w:p>
      <w:pPr>
        <w:pStyle w:val="BodyText"/>
      </w:pPr>
      <w:r>
        <w:t xml:space="preserve">Address:</w:t>
      </w:r>
      <w:r>
        <w:t xml:space="preserve"> </w:t>
      </w:r>
      <w:r>
        <w:t xml:space="preserve">King Abdulaziz Economic City, Jeddah</w:t>
      </w:r>
    </w:p>
    <w:p>
      <w:pPr>
        <w:pStyle w:val="BodyText"/>
      </w:pPr>
      <w:r>
        <w:t xml:space="preserve">Saudi Arabia Jeddah 23411, KSA</w:t>
      </w:r>
    </w:p>
    <w:p>
      <w:pPr>
        <w:pStyle w:val="BodyText"/>
      </w:pPr>
      <w:r>
        <w:t xml:space="preserve">VAT No.:</w:t>
      </w:r>
      <w:r>
        <w:t xml:space="preserve"> </w:t>
      </w:r>
      <w:r>
        <w:t xml:space="preserve">3101XXXXXX00003</w:t>
      </w:r>
    </w:p>
    <w:p>
      <w:pPr>
        <w:pStyle w:val="BodyText"/>
      </w:pPr>
      <w:r>
        <w:t xml:space="preserve">PO Reference:</w:t>
      </w:r>
      <w:r>
        <w:t xml:space="preserve"> </w:t>
      </w:r>
      <w:r>
        <w:t xml:space="preserve">SIDG-PO-2025-3391</w:t>
      </w:r>
    </w:p>
    <w:bookmarkEnd w:id="22"/>
    <w:bookmarkStart w:id="23" w:name="service-details"/>
    <w:p>
      <w:pPr>
        <w:pStyle w:val="Heading3"/>
      </w:pPr>
      <w:r>
        <w:t xml:space="preserve">Service Details</w:t>
      </w:r>
    </w:p>
    <w:p>
      <w:pPr>
        <w:pStyle w:val="FirstParagraph"/>
      </w:pPr>
      <w:r>
        <w:t xml:space="preserve">Service Type:</w:t>
      </w:r>
      <w:r>
        <w:t xml:space="preserve"> </w:t>
      </w:r>
      <w:r>
        <w:t xml:space="preserve">Translator Interpreter Services</w:t>
      </w:r>
    </w:p>
    <w:p>
      <w:pPr>
        <w:pStyle w:val="BodyText"/>
      </w:pPr>
      <w:r>
        <w:t xml:space="preserve">Location:</w:t>
      </w:r>
      <w:r>
        <w:t xml:space="preserve"> </w:t>
      </w:r>
      <w:r>
        <w:t xml:space="preserve">Saudi Arabia Jeddah</w:t>
      </w:r>
    </w:p>
    <w:p>
      <w:pPr>
        <w:pStyle w:val="BodyText"/>
      </w:pPr>
      <w:r>
        <w:t xml:space="preserve">Languages:</w:t>
      </w:r>
      <w:r>
        <w:t xml:space="preserve"> </w:t>
      </w:r>
      <w:r>
        <w:t xml:space="preserve">Arabic / English / French</w:t>
      </w:r>
    </w:p>
    <w:p>
      <w:pPr>
        <w:pStyle w:val="BodyText"/>
      </w:pPr>
      <w:r>
        <w:t xml:space="preserve">Engagement Period:</w:t>
      </w:r>
      <w:r>
        <w:t xml:space="preserve"> </w:t>
      </w:r>
      <w:r>
        <w:t xml:space="preserve">10 June 2025 – 14 June 2025</w:t>
      </w:r>
    </w:p>
    <w:p>
      <w:pPr>
        <w:pStyle w:val="BodyText"/>
      </w:pPr>
      <w:r>
        <w:t xml:space="preserve">Project:</w:t>
      </w:r>
      <w:r>
        <w:t xml:space="preserve"> </w:t>
      </w:r>
      <w:r>
        <w:t xml:space="preserve">Annual International Trade Conference</w:t>
      </w:r>
    </w:p>
    <w:bookmarkEnd w:id="23"/>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Translator Interpreter</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(SAR)</w:t>
            </w:r>
          </w:p>
        </w:tc>
        <w:tc>
          <w:tcPr/>
          <w:p>
            <w:pPr>
              <w:pStyle w:val="Compact"/>
              <w:jc w:val="left"/>
            </w:pPr>
            <w:r>
              <w:t xml:space="preserve">Amount (SAR)</w:t>
            </w:r>
          </w:p>
        </w:tc>
      </w:tr>
      <w:tr>
        <w:tc>
          <w:tcPr/>
          <w:p>
            <w:pPr>
              <w:pStyle w:val="Compact"/>
              <w:jc w:val="left"/>
            </w:pPr>
            <w:r>
              <w:t xml:space="preserve">1</w:t>
            </w:r>
          </w:p>
        </w:tc>
        <w:tc>
          <w:tcPr/>
          <w:p>
            <w:pPr>
              <w:pStyle w:val="Compact"/>
              <w:jc w:val="left"/>
            </w:pPr>
            <w:r>
              <w:t xml:space="preserve">On-site Translator Interpreter for opening keynote address – Arabic to English simultaneous interpretation at the Jeddah International Convention Center</w:t>
            </w:r>
          </w:p>
        </w:tc>
        <w:tc>
          <w:tcPr/>
          <w:p>
            <w:pPr>
              <w:pStyle w:val="Compact"/>
              <w:jc w:val="left"/>
            </w:pPr>
            <w:r>
              <w:t xml:space="preserve">Fatima Al-Harbi</w:t>
            </w:r>
          </w:p>
        </w:tc>
        <w:tc>
          <w:tcPr/>
          <w:p>
            <w:pPr>
              <w:pStyle w:val="Compact"/>
              <w:jc w:val="left"/>
            </w:pPr>
            <w:r>
              <w:t xml:space="preserve">10 Jun 2025</w:t>
            </w:r>
          </w:p>
        </w:tc>
        <w:tc>
          <w:tcPr/>
          <w:p>
            <w:pPr>
              <w:pStyle w:val="Compact"/>
              <w:jc w:val="left"/>
            </w:pPr>
            <w:r>
              <w:t xml:space="preserve">8.0</w:t>
            </w:r>
          </w:p>
        </w:tc>
        <w:tc>
          <w:tcPr/>
          <w:p>
            <w:pPr>
              <w:pStyle w:val="Compact"/>
              <w:jc w:val="left"/>
            </w:pPr>
            <w:r>
              <w:t xml:space="preserve">450.00</w:t>
            </w:r>
          </w:p>
        </w:tc>
        <w:tc>
          <w:tcPr/>
          <w:p>
            <w:pPr>
              <w:pStyle w:val="Compact"/>
              <w:jc w:val="left"/>
            </w:pPr>
            <w:r>
              <w:t xml:space="preserve">3,600.00</w:t>
            </w:r>
          </w:p>
        </w:tc>
      </w:tr>
      <w:tr>
        <w:tc>
          <w:tcPr/>
          <w:p>
            <w:pPr>
              <w:pStyle w:val="Compact"/>
              <w:jc w:val="left"/>
            </w:pPr>
            <w:r>
              <w:t xml:space="preserve">2</w:t>
            </w:r>
          </w:p>
        </w:tc>
        <w:tc>
          <w:tcPr/>
          <w:p>
            <w:pPr>
              <w:pStyle w:val="Compact"/>
              <w:jc w:val="left"/>
            </w:pPr>
            <w:r>
              <w:t xml:space="preserve">Translator Interpreter for bilateral trade negotiation sessions – English to Arabic consecutive interpretation, Saudi Arabia Jeddah venue</w:t>
            </w:r>
          </w:p>
        </w:tc>
        <w:tc>
          <w:tcPr/>
          <w:p>
            <w:pPr>
              <w:pStyle w:val="Compact"/>
              <w:jc w:val="left"/>
            </w:pPr>
            <w:r>
              <w:t xml:space="preserve">James Whitfield</w:t>
            </w:r>
          </w:p>
        </w:tc>
        <w:tc>
          <w:tcPr/>
          <w:p>
            <w:pPr>
              <w:pStyle w:val="Compact"/>
              <w:jc w:val="left"/>
            </w:pPr>
            <w:r>
              <w:t xml:space="preserve">11 Jun 2025</w:t>
            </w:r>
          </w:p>
        </w:tc>
        <w:tc>
          <w:tcPr/>
          <w:p>
            <w:pPr>
              <w:pStyle w:val="Compact"/>
              <w:jc w:val="left"/>
            </w:pPr>
            <w:r>
              <w:t xml:space="preserve">10.0</w:t>
            </w:r>
          </w:p>
        </w:tc>
        <w:tc>
          <w:tcPr/>
          <w:p>
            <w:pPr>
              <w:pStyle w:val="Compact"/>
              <w:jc w:val="left"/>
            </w:pPr>
            <w:r>
              <w:t xml:space="preserve">450.00</w:t>
            </w:r>
          </w:p>
        </w:tc>
        <w:tc>
          <w:tcPr/>
          <w:p>
            <w:pPr>
              <w:pStyle w:val="Compact"/>
              <w:jc w:val="left"/>
            </w:pPr>
            <w:r>
              <w:t xml:space="preserve">4,500.00</w:t>
            </w:r>
          </w:p>
        </w:tc>
      </w:tr>
      <w:tr>
        <w:tc>
          <w:tcPr/>
          <w:p>
            <w:pPr>
              <w:pStyle w:val="Compact"/>
              <w:jc w:val="left"/>
            </w:pPr>
            <w:r>
              <w:t xml:space="preserve">3</w:t>
            </w:r>
          </w:p>
        </w:tc>
        <w:tc>
          <w:tcPr/>
          <w:p>
            <w:pPr>
              <w:pStyle w:val="Compact"/>
              <w:jc w:val="left"/>
            </w:pPr>
            <w:r>
              <w:t xml:space="preserve">Translator Interpreter for panel discussion on renewable energy investment – French to Arabic and English trilingual interpretation</w:t>
            </w:r>
          </w:p>
        </w:tc>
        <w:tc>
          <w:tcPr/>
          <w:p>
            <w:pPr>
              <w:pStyle w:val="Compact"/>
              <w:jc w:val="left"/>
            </w:pPr>
            <w:r>
              <w:t xml:space="preserve">Marie Dubois</w:t>
            </w:r>
          </w:p>
        </w:tc>
        <w:tc>
          <w:tcPr/>
          <w:p>
            <w:pPr>
              <w:pStyle w:val="Compact"/>
              <w:jc w:val="left"/>
            </w:pPr>
            <w:r>
              <w:t xml:space="preserve">12 Jun 2025</w:t>
            </w:r>
          </w:p>
        </w:tc>
        <w:tc>
          <w:tcPr/>
          <w:p>
            <w:pPr>
              <w:pStyle w:val="Compact"/>
              <w:jc w:val="left"/>
            </w:pPr>
            <w:r>
              <w:t xml:space="preserve">8.0</w:t>
            </w:r>
          </w:p>
        </w:tc>
        <w:tc>
          <w:tcPr/>
          <w:p>
            <w:pPr>
              <w:pStyle w:val="Compact"/>
              <w:jc w:val="left"/>
            </w:pPr>
            <w:r>
              <w:t xml:space="preserve">500.00</w:t>
            </w:r>
          </w:p>
        </w:tc>
        <w:tc>
          <w:tcPr/>
          <w:p>
            <w:pPr>
              <w:pStyle w:val="Compact"/>
              <w:jc w:val="left"/>
            </w:pPr>
            <w:r>
              <w:t xml:space="preserve">4,000.00</w:t>
            </w:r>
          </w:p>
        </w:tc>
      </w:tr>
      <w:tr>
        <w:tc>
          <w:tcPr/>
          <w:p>
            <w:pPr>
              <w:pStyle w:val="Compact"/>
              <w:jc w:val="left"/>
            </w:pPr>
            <w:r>
              <w:t xml:space="preserve">4</w:t>
            </w:r>
          </w:p>
        </w:tc>
        <w:tc>
          <w:tcPr/>
          <w:p>
            <w:pPr>
              <w:pStyle w:val="Compact"/>
              <w:jc w:val="left"/>
            </w:pPr>
            <w:r>
              <w:t xml:space="preserve">Translator Interpreter for closing ceremony and press briefing – Arabic to English and French simultaneous interpretation</w:t>
            </w:r>
          </w:p>
        </w:tc>
        <w:tc>
          <w:tcPr/>
          <w:p>
            <w:pPr>
              <w:pStyle w:val="Compact"/>
              <w:jc w:val="left"/>
            </w:pPr>
            <w:r>
              <w:t xml:space="preserve">Fatima Al-Harbi</w:t>
            </w:r>
          </w:p>
        </w:tc>
        <w:tc>
          <w:tcPr/>
          <w:p>
            <w:pPr>
              <w:pStyle w:val="Compact"/>
              <w:jc w:val="left"/>
            </w:pPr>
            <w:r>
              <w:t xml:space="preserve">13 Jun 2025</w:t>
            </w:r>
          </w:p>
        </w:tc>
        <w:tc>
          <w:tcPr/>
          <w:p>
            <w:pPr>
              <w:pStyle w:val="Compact"/>
              <w:jc w:val="left"/>
            </w:pPr>
            <w:r>
              <w:t xml:space="preserve">6.0</w:t>
            </w:r>
          </w:p>
        </w:tc>
        <w:tc>
          <w:tcPr/>
          <w:p>
            <w:pPr>
              <w:pStyle w:val="Compact"/>
              <w:jc w:val="left"/>
            </w:pPr>
            <w:r>
              <w:t xml:space="preserve">450.00</w:t>
            </w:r>
          </w:p>
        </w:tc>
        <w:tc>
          <w:tcPr/>
          <w:p>
            <w:pPr>
              <w:pStyle w:val="Compact"/>
              <w:jc w:val="left"/>
            </w:pPr>
            <w:r>
              <w:t xml:space="preserve">2,700.00</w:t>
            </w:r>
          </w:p>
        </w:tc>
      </w:tr>
      <w:tr>
        <w:tc>
          <w:tcPr/>
          <w:p>
            <w:pPr>
              <w:pStyle w:val="Compact"/>
              <w:jc w:val="left"/>
            </w:pPr>
            <w:r>
              <w:t xml:space="preserve">5</w:t>
            </w:r>
          </w:p>
        </w:tc>
        <w:tc>
          <w:tcPr/>
          <w:p>
            <w:pPr>
              <w:pStyle w:val="Compact"/>
              <w:jc w:val="left"/>
            </w:pPr>
            <w:r>
              <w:t xml:space="preserve">Translator Interpreter for VIP reception and one-on-one executive meetings – Arabic to English consecutive interpretation, Saudi Arabia Jeddah</w:t>
            </w:r>
          </w:p>
        </w:tc>
        <w:tc>
          <w:tcPr/>
          <w:p>
            <w:pPr>
              <w:pStyle w:val="Compact"/>
              <w:jc w:val="left"/>
            </w:pPr>
            <w:r>
              <w:t xml:space="preserve">James Whitfield</w:t>
            </w:r>
          </w:p>
        </w:tc>
        <w:tc>
          <w:tcPr/>
          <w:p>
            <w:pPr>
              <w:pStyle w:val="Compact"/>
              <w:jc w:val="left"/>
            </w:pPr>
            <w:r>
              <w:t xml:space="preserve">14 Jun 2025</w:t>
            </w:r>
          </w:p>
        </w:tc>
        <w:tc>
          <w:tcPr/>
          <w:p>
            <w:pPr>
              <w:pStyle w:val="Compact"/>
              <w:jc w:val="left"/>
            </w:pPr>
            <w:r>
              <w:t xml:space="preserve">5.0</w:t>
            </w:r>
          </w:p>
        </w:tc>
        <w:tc>
          <w:tcPr/>
          <w:p>
            <w:pPr>
              <w:pStyle w:val="Compact"/>
              <w:jc w:val="left"/>
            </w:pPr>
            <w:r>
              <w:t xml:space="preserve">450.00</w:t>
            </w:r>
          </w:p>
        </w:tc>
        <w:tc>
          <w:tcPr/>
          <w:p>
            <w:pPr>
              <w:pStyle w:val="Compact"/>
              <w:jc w:val="left"/>
            </w:pPr>
            <w:r>
              <w:t xml:space="preserve">2,250.00</w:t>
            </w:r>
          </w:p>
        </w:tc>
      </w:tr>
      <w:tr>
        <w:tc>
          <w:tcPr/>
          <w:p>
            <w:pPr>
              <w:pStyle w:val="Compact"/>
              <w:jc w:val="left"/>
            </w:pPr>
            <w:r>
              <w:t xml:space="preserve">6</w:t>
            </w:r>
          </w:p>
        </w:tc>
        <w:tc>
          <w:tcPr/>
          <w:p>
            <w:pPr>
              <w:pStyle w:val="Compact"/>
              <w:jc w:val="left"/>
            </w:pPr>
            <w:r>
              <w:t xml:space="preserve">Technical document translation and Translator Interpreter support for contract review – 120 pages, Arabic to English</w:t>
            </w:r>
          </w:p>
        </w:tc>
        <w:tc>
          <w:tcPr/>
          <w:p>
            <w:pPr>
              <w:pStyle w:val="Compact"/>
              <w:jc w:val="left"/>
            </w:pPr>
            <w:r>
              <w:t xml:space="preserve">Al-Nakheel Translation Team</w:t>
            </w:r>
          </w:p>
        </w:tc>
        <w:tc>
          <w:tcPr/>
          <w:p>
            <w:pPr>
              <w:pStyle w:val="Compact"/>
              <w:jc w:val="left"/>
            </w:pPr>
            <w:r>
              <w:t xml:space="preserve">10–14 Jun 2025</w:t>
            </w:r>
          </w:p>
        </w:tc>
        <w:tc>
          <w:tcPr/>
          <w:p>
            <w:pPr>
              <w:pStyle w:val="Compact"/>
              <w:jc w:val="left"/>
            </w:pPr>
            <w:r>
              <w:t xml:space="preserve">16.0</w:t>
            </w:r>
          </w:p>
        </w:tc>
        <w:tc>
          <w:tcPr/>
          <w:p>
            <w:pPr>
              <w:pStyle w:val="Compact"/>
              <w:jc w:val="left"/>
            </w:pPr>
            <w:r>
              <w:t xml:space="preserve">350.00</w:t>
            </w:r>
          </w:p>
        </w:tc>
        <w:tc>
          <w:tcPr/>
          <w:p>
            <w:pPr>
              <w:pStyle w:val="Compact"/>
              <w:jc w:val="left"/>
            </w:pPr>
            <w:r>
              <w:t xml:space="preserve">5,600.00</w:t>
            </w:r>
          </w:p>
        </w:tc>
      </w:tr>
      <w:tr>
        <w:tc>
          <w:tcPr/>
          <w:p>
            <w:pPr>
              <w:pStyle w:val="Compact"/>
              <w:jc w:val="left"/>
            </w:pPr>
            <w:r>
              <w:t xml:space="preserve">7</w:t>
            </w:r>
          </w:p>
        </w:tc>
        <w:tc>
          <w:tcPr/>
          <w:p>
            <w:pPr>
              <w:pStyle w:val="Compact"/>
              <w:jc w:val="left"/>
            </w:pPr>
            <w:r>
              <w:t xml:space="preserve">Equipment rental – simultaneous interpretation booths, headsets, and digital recording devices for Translator Interpreter deployment in Saudi Arabia Jeddah</w:t>
            </w:r>
          </w:p>
        </w:tc>
        <w:tc>
          <w:tcPr/>
          <w:p>
            <w:pPr>
              <w:pStyle w:val="Compact"/>
              <w:jc w:val="left"/>
            </w:pPr>
            <w:r>
              <w:t xml:space="preserve">Al-Nakheel AV Division</w:t>
            </w:r>
          </w:p>
        </w:tc>
        <w:tc>
          <w:tcPr/>
          <w:p>
            <w:pPr>
              <w:pStyle w:val="Compact"/>
              <w:jc w:val="left"/>
            </w:pPr>
            <w:r>
              <w:t xml:space="preserve">10–14 Jun 2025</w:t>
            </w:r>
          </w:p>
        </w:tc>
        <w:tc>
          <w:tcPr/>
          <w:p>
            <w:pPr>
              <w:pStyle w:val="Compact"/>
              <w:jc w:val="left"/>
            </w:pPr>
            <w:r>
              <w:t xml:space="preserve">—</w:t>
            </w:r>
          </w:p>
        </w:tc>
        <w:tc>
          <w:tcPr/>
          <w:p>
            <w:pPr>
              <w:pStyle w:val="Compact"/>
              <w:jc w:val="left"/>
            </w:pPr>
            <w:r>
              <w:t xml:space="preserve">—</w:t>
            </w:r>
          </w:p>
        </w:tc>
        <w:tc>
          <w:tcPr/>
          <w:p>
            <w:pPr>
              <w:pStyle w:val="Compact"/>
              <w:jc w:val="left"/>
            </w:pPr>
            <w:r>
              <w:t xml:space="preserve">3,500.00</w:t>
            </w:r>
          </w:p>
        </w:tc>
      </w:tr>
      <w:tr>
        <w:tc>
          <w:tcPr/>
          <w:p>
            <w:pPr>
              <w:pStyle w:val="Compact"/>
              <w:jc w:val="left"/>
            </w:pPr>
            <w:r>
              <w:t xml:space="preserve">8</w:t>
            </w:r>
          </w:p>
        </w:tc>
        <w:tc>
          <w:tcPr/>
          <w:p>
            <w:pPr>
              <w:pStyle w:val="Compact"/>
              <w:jc w:val="left"/>
            </w:pPr>
            <w:r>
              <w:t xml:space="preserve">Travel, accommodation, and per diem for Translator Interpreter team stationed in Saudi Arabia Jeddah (5 days)</w:t>
            </w:r>
          </w:p>
        </w:tc>
        <w:tc>
          <w:tcPr/>
          <w:p>
            <w:pPr>
              <w:pStyle w:val="Compact"/>
              <w:jc w:val="left"/>
            </w:pPr>
            <w:r>
              <w:t xml:space="preserve">All Assigned Staff</w:t>
            </w:r>
          </w:p>
        </w:tc>
        <w:tc>
          <w:tcPr/>
          <w:p>
            <w:pPr>
              <w:pStyle w:val="Compact"/>
              <w:jc w:val="left"/>
            </w:pPr>
            <w:r>
              <w:t xml:space="preserve">10–14 Jun 2025</w:t>
            </w:r>
          </w:p>
        </w:tc>
        <w:tc>
          <w:tcPr/>
          <w:p>
            <w:pPr>
              <w:pStyle w:val="Compact"/>
              <w:jc w:val="left"/>
            </w:pPr>
            <w:r>
              <w:t xml:space="preserve">—</w:t>
            </w:r>
          </w:p>
        </w:tc>
        <w:tc>
          <w:tcPr/>
          <w:p>
            <w:pPr>
              <w:pStyle w:val="Compact"/>
              <w:jc w:val="left"/>
            </w:pPr>
            <w:r>
              <w:t xml:space="preserve">—</w:t>
            </w:r>
          </w:p>
        </w:tc>
        <w:tc>
          <w:tcPr/>
          <w:p>
            <w:pPr>
              <w:pStyle w:val="Compact"/>
              <w:jc w:val="left"/>
            </w:pPr>
            <w:r>
              <w:t xml:space="preserve">4,200.00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30,350.00 SAR</w:t>
            </w:r>
          </w:p>
        </w:tc>
      </w:tr>
      <w:tr>
        <w:tc>
          <w:tcPr/>
          <w:p>
            <w:pPr>
              <w:pStyle w:val="Compact"/>
              <w:jc w:val="left"/>
            </w:pPr>
            <w:r>
              <w:t xml:space="preserve">VAT (15%)</w:t>
            </w:r>
          </w:p>
        </w:tc>
        <w:tc>
          <w:tcPr/>
          <w:p>
            <w:pPr>
              <w:pStyle w:val="Compact"/>
              <w:jc w:val="left"/>
            </w:pPr>
            <w:r>
              <w:t xml:space="preserve">4,552.50 SAR</w:t>
            </w:r>
          </w:p>
        </w:tc>
      </w:tr>
      <w:tr>
        <w:tc>
          <w:tcPr/>
          <w:p>
            <w:pPr>
              <w:pStyle w:val="Compact"/>
              <w:jc w:val="left"/>
            </w:pPr>
            <w:r>
              <w:t xml:space="preserve">Discount (Early Payment 2%)</w:t>
            </w:r>
          </w:p>
        </w:tc>
        <w:tc>
          <w:tcPr/>
          <w:p>
            <w:pPr>
              <w:pStyle w:val="Compact"/>
              <w:jc w:val="left"/>
            </w:pPr>
            <w:r>
              <w:t xml:space="preserve">-607.00 SAR</w:t>
            </w:r>
          </w:p>
        </w:tc>
      </w:tr>
      <w:tr>
        <w:tc>
          <w:tcPr/>
          <w:p>
            <w:pPr>
              <w:pStyle w:val="Compact"/>
              <w:jc w:val="left"/>
            </w:pPr>
            <w:r>
              <w:t xml:space="preserve">Grand Total Due</w:t>
            </w:r>
          </w:p>
        </w:tc>
        <w:tc>
          <w:tcPr/>
          <w:p>
            <w:pPr>
              <w:pStyle w:val="Compact"/>
              <w:jc w:val="left"/>
            </w:pPr>
            <w:r>
              <w:t xml:space="preserve">34,295.50 SAR</w:t>
            </w:r>
          </w:p>
        </w:tc>
      </w:tr>
    </w:tbl>
    <w:bookmarkStart w:id="24" w:name="invoice-notes-service-summary"/>
    <w:p>
      <w:pPr>
        <w:pStyle w:val="Heading3"/>
      </w:pPr>
      <w:r>
        <w:t xml:space="preserve">Invoice Notes &amp; Service Summary</w:t>
      </w:r>
    </w:p>
    <w:p>
      <w:pPr>
        <w:pStyle w:val="FirstParagraph"/>
      </w:pPr>
      <w:r>
        <w:t xml:space="preserve">This Invoice is issued by Al-Nakheel Language Services LLC for the provision of professional Translator Interpreter services rendered in Saudi Arabia Jeddah during the period of 10 to 14 June 2025. All Translator Interpreter personnel assigned to this engagement hold certified credentials from the Saudi Commission for Translation and Interpretation and possess a minimum of eight years of professional experience in multilingual corporate and diplomatic settings.</w:t>
      </w:r>
    </w:p>
    <w:p>
      <w:pPr>
        <w:pStyle w:val="BodyText"/>
      </w:pPr>
      <w:r>
        <w:t xml:space="preserve">The Translator Interpreter team was deployed at the Jeddah International Convention Center and the King Abdulaziz Economic City premises to support the Annual International Trade Conference. Services included simultaneous interpretation, consecutive interpretation, trilingual panel support, VIP executive interpretation, and technical document translation. All interpretation was conducted in accordance with the highest professional standards expected in Saudi Arabia Jeddah's international business community.</w:t>
      </w:r>
    </w:p>
    <w:p>
      <w:pPr>
        <w:pStyle w:val="BodyText"/>
      </w:pPr>
      <w:r>
        <w:t xml:space="preserve">Payment for this Invoice is due within fourteen (14) calendar days from the date of issue. Please reference Invoice No. ANL-2025-04872 and PO Reference SIDG-PO-2025-3391 on all remittances. Payments may be made via bank transfer to Al-Nakheel Language Services LLC, Riyad Bank, Account No. 0123-4567-8901, SWIFT: RYBASKSA.</w:t>
      </w:r>
    </w:p>
    <w:bookmarkEnd w:id="24"/>
    <w:bookmarkStart w:id="25" w:name="terms-and-conditions"/>
    <w:p>
      <w:pPr>
        <w:pStyle w:val="Heading3"/>
      </w:pPr>
      <w:r>
        <w:t xml:space="preserve">Terms and Conditions</w:t>
      </w:r>
    </w:p>
    <w:p>
      <w:pPr>
        <w:pStyle w:val="FirstParagraph"/>
      </w:pPr>
      <w:r>
        <w:t xml:space="preserve">1. This Invoice constitutes a binding financial document between Al-Nakheel Language Services LLC and the client. All Translator Interpreter services described herein were performed in Saudi Arabia Jeddah and are subject to the terms of the master service agreement dated 01 May 2025.</w:t>
      </w:r>
    </w:p>
    <w:p>
      <w:pPr>
        <w:pStyle w:val="BodyText"/>
      </w:pPr>
      <w:r>
        <w:t xml:space="preserve">2. Late payments on this Invoice shall incur a penalty of 1.5% per month on the outstanding balance, in compliance with Saudi Arabian commercial law.</w:t>
      </w:r>
    </w:p>
    <w:p>
      <w:pPr>
        <w:pStyle w:val="BodyText"/>
      </w:pPr>
      <w:r>
        <w:t xml:space="preserve">3. All Translator Interpreter personnel are bound by strict confidentiality agreements. No recordings, transcripts, or notes from interpretation sessions conducted in Saudi Arabia Jeddah may be reproduced or distributed without written consent from both parties.</w:t>
      </w:r>
    </w:p>
    <w:p>
      <w:pPr>
        <w:pStyle w:val="BodyText"/>
      </w:pPr>
      <w:r>
        <w:t xml:space="preserve">4. Any disputes arising from this Invoice shall be resolved through arbitration in Jeddah, Saudi Arabia, in accordance with the rules of the Saudi Center for Commercial Arbitration.</w:t>
      </w:r>
    </w:p>
    <w:p>
      <w:pPr>
        <w:pStyle w:val="BodyText"/>
      </w:pPr>
      <w:r>
        <w:t xml:space="preserve">5. This Invoice is valid for 90 days from the date of issue. After this period, the client must request a reissued Invoice to confirm the outstanding balance.</w:t>
      </w:r>
    </w:p>
    <w:bookmarkEnd w:id="25"/>
    <w:p>
      <w:pPr>
        <w:pStyle w:val="BodyText"/>
      </w:pPr>
      <w:r>
        <w:rPr>
          <w:bCs/>
          <w:b/>
        </w:rPr>
        <w:t xml:space="preserve">Al-Nakheel Language Services LLC</w:t>
      </w:r>
      <w:r>
        <w:t xml:space="preserve"> </w:t>
      </w:r>
      <w:r>
        <w:t xml:space="preserve">| Professional Translator Interpreter Services | Saudi Arabia Jeddah</w:t>
      </w:r>
    </w:p>
    <w:p>
      <w:pPr>
        <w:pStyle w:val="BodyText"/>
      </w:pPr>
      <w:r>
        <w:t xml:space="preserve">This Invoice was generated electronically and is valid without a physical signature. For queries regarding this Invoice, please contact billing@alnakheel-lang.com or call +966 12 555 0147.</w:t>
      </w:r>
    </w:p>
    <w:p>
      <w:pPr>
        <w:pStyle w:val="BodyText"/>
      </w:pPr>
      <w:r>
        <w:t xml:space="preserve">Thank you for choosing Al-Nakheel Language Services for your Translator Interpreter needs in Saudi Arabia Jeddah.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Translator Interpreter Services - Saudi Arabia Jeddah</dc:title>
  <dc:creator/>
  <dc:language>en</dc:language>
  <cp:keywords/>
  <dcterms:created xsi:type="dcterms:W3CDTF">2026-10-10T02:57:14Z</dcterms:created>
  <dcterms:modified xsi:type="dcterms:W3CDTF">2026-10-10T02:57:14Z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