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University</w:t>
      </w:r>
      <w:r>
        <w:t xml:space="preserve"> </w:t>
      </w:r>
      <w:r>
        <w:t xml:space="preserve">Lecturer</w:t>
      </w:r>
      <w:r>
        <w:t xml:space="preserve"> </w:t>
      </w:r>
      <w:r>
        <w:t xml:space="preserve">Services</w:t>
      </w:r>
      <w:r>
        <w:t xml:space="preserve"> </w:t>
      </w:r>
      <w:r>
        <w:t xml:space="preserve">-</w:t>
      </w:r>
      <w:r>
        <w:t xml:space="preserve"> </w:t>
      </w:r>
      <w:r>
        <w:t xml:space="preserve">Egypt</w:t>
      </w:r>
      <w:r>
        <w:t xml:space="preserve"> </w:t>
      </w:r>
      <w:r>
        <w:t xml:space="preserve">Alexandria</w:t>
      </w:r>
    </w:p>
    <w:bookmarkStart w:id="20" w:name="invoice"/>
    <w:p>
      <w:pPr>
        <w:pStyle w:val="Heading1"/>
      </w:pPr>
      <w:r>
        <w:t xml:space="preserve">INVOICE</w:t>
      </w:r>
    </w:p>
    <w:p>
      <w:pPr>
        <w:pStyle w:val="FirstParagraph"/>
      </w:pPr>
      <w:r>
        <w:t xml:space="preserve">Professional Academic Services — University Lecturer, Egypt Alexandria</w:t>
      </w:r>
    </w:p>
    <w:bookmarkEnd w:id="20"/>
    <w:p>
      <w:pPr>
        <w:pStyle w:val="BodyText"/>
      </w:pPr>
      <w:r>
        <w:t xml:space="preserve">Invoice No: INV-ALX-2025-0472</w:t>
      </w:r>
    </w:p>
    <w:p>
      <w:pPr>
        <w:pStyle w:val="BodyText"/>
      </w:pPr>
      <w:r>
        <w:t xml:space="preserve">Date of Issue: 15 June 2025</w:t>
      </w:r>
    </w:p>
    <w:p>
      <w:pPr>
        <w:pStyle w:val="BodyText"/>
      </w:pPr>
      <w:r>
        <w:t xml:space="preserve">Due Date: 30 June 2025</w:t>
      </w:r>
    </w:p>
    <w:p>
      <w:pPr>
        <w:pStyle w:val="BodyText"/>
      </w:pPr>
      <w:r>
        <w:t xml:space="preserve">Payment Terms: Net 15 Days</w:t>
      </w:r>
    </w:p>
    <w:p>
      <w:pPr>
        <w:pStyle w:val="BodyText"/>
      </w:pPr>
      <w:r>
        <w:t xml:space="preserve">Currency: Egyptian Pound (EGP)</w:t>
      </w:r>
    </w:p>
    <w:bookmarkStart w:id="21" w:name="issued-by-university-lecturer"/>
    <w:p>
      <w:pPr>
        <w:pStyle w:val="Heading3"/>
      </w:pPr>
      <w:r>
        <w:t xml:space="preserve">Issued By (University Lecturer)</w:t>
      </w:r>
    </w:p>
    <w:p>
      <w:pPr>
        <w:pStyle w:val="FirstParagraph"/>
      </w:pPr>
      <w:r>
        <w:rPr>
          <w:bCs/>
          <w:b/>
        </w:rPr>
        <w:t xml:space="preserve">Dr. Ahmed Hassan El-Sayed</w:t>
      </w:r>
    </w:p>
    <w:p>
      <w:pPr>
        <w:pStyle w:val="BodyText"/>
      </w:pPr>
      <w:r>
        <w:t xml:space="preserve">University Lecturer, Department of Engineering</w:t>
      </w:r>
    </w:p>
    <w:p>
      <w:pPr>
        <w:pStyle w:val="BodyText"/>
      </w:pPr>
      <w:r>
        <w:t xml:space="preserve">Alexandria University, Faculty of Engineering</w:t>
      </w:r>
    </w:p>
    <w:p>
      <w:pPr>
        <w:pStyle w:val="BodyText"/>
      </w:pPr>
      <w:r>
        <w:t xml:space="preserve">El-Mekky Street, Aboukir District</w:t>
      </w:r>
    </w:p>
    <w:p>
      <w:pPr>
        <w:pStyle w:val="BodyText"/>
      </w:pPr>
      <w:r>
        <w:t xml:space="preserve">Alexandria, Egypt 21542</w:t>
      </w:r>
    </w:p>
    <w:p>
      <w:pPr>
        <w:pStyle w:val="BodyText"/>
      </w:pPr>
      <w:r>
        <w:t xml:space="preserve">Tax ID (VAT): 512-345-678-901</w:t>
      </w:r>
    </w:p>
    <w:p>
      <w:pPr>
        <w:pStyle w:val="BodyText"/>
      </w:pPr>
      <w:r>
        <w:t xml:space="preserve">Email: a.el-sayed@alexu.edu.eg</w:t>
      </w:r>
    </w:p>
    <w:p>
      <w:pPr>
        <w:pStyle w:val="BodyText"/>
      </w:pPr>
      <w:r>
        <w:t xml:space="preserve">Phone: +20 3 482 1234</w:t>
      </w:r>
    </w:p>
    <w:bookmarkEnd w:id="21"/>
    <w:bookmarkStart w:id="22" w:name="issued-to-client"/>
    <w:p>
      <w:pPr>
        <w:pStyle w:val="Heading3"/>
      </w:pPr>
      <w:r>
        <w:t xml:space="preserve">Issued To (Client)</w:t>
      </w:r>
    </w:p>
    <w:p>
      <w:pPr>
        <w:pStyle w:val="FirstParagraph"/>
      </w:pPr>
      <w:r>
        <w:rPr>
          <w:bCs/>
          <w:b/>
        </w:rPr>
        <w:t xml:space="preserve">Alexandria Industrial Development Authority</w:t>
      </w:r>
    </w:p>
    <w:p>
      <w:pPr>
        <w:pStyle w:val="BodyText"/>
      </w:pPr>
      <w:r>
        <w:t xml:space="preserve">Office of the Director General</w:t>
      </w:r>
    </w:p>
    <w:p>
      <w:pPr>
        <w:pStyle w:val="BodyText"/>
      </w:pPr>
      <w:r>
        <w:t xml:space="preserve">12 Corniche El-Nil Street</w:t>
      </w:r>
    </w:p>
    <w:p>
      <w:pPr>
        <w:pStyle w:val="BodyText"/>
      </w:pPr>
      <w:r>
        <w:t xml:space="preserve">Smouha District, Alexandria</w:t>
      </w:r>
    </w:p>
    <w:p>
      <w:pPr>
        <w:pStyle w:val="BodyText"/>
      </w:pPr>
      <w:r>
        <w:t xml:space="preserve">Alexandria, Egypt 21542</w:t>
      </w:r>
    </w:p>
    <w:p>
      <w:pPr>
        <w:pStyle w:val="BodyText"/>
      </w:pPr>
      <w:r>
        <w:t xml:space="preserve">Tax ID (VAT): 598-765-432-109</w:t>
      </w:r>
    </w:p>
    <w:p>
      <w:pPr>
        <w:pStyle w:val="BodyText"/>
      </w:pPr>
      <w:r>
        <w:t xml:space="preserve">Attn: Mr. Khaled Mostafa, Procurement Officer</w:t>
      </w:r>
    </w:p>
    <w:p>
      <w:pPr>
        <w:pStyle w:val="BodyText"/>
      </w:pPr>
      <w:r>
        <w:t xml:space="preserve">Email: procurement@aid-alexandria.gov.eg</w:t>
      </w:r>
    </w:p>
    <w:bookmarkEnd w:id="22"/>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Ref</w:t>
            </w:r>
          </w:p>
        </w:tc>
        <w:tc>
          <w:tcPr/>
          <w:p>
            <w:pPr>
              <w:pStyle w:val="Compact"/>
              <w:jc w:val="left"/>
            </w:pPr>
            <w:r>
              <w:t xml:space="preserve">Description of Services Rendered by University Lecturer</w:t>
            </w:r>
          </w:p>
        </w:tc>
        <w:tc>
          <w:tcPr/>
          <w:p>
            <w:pPr>
              <w:pStyle w:val="Compact"/>
              <w:jc w:val="left"/>
            </w:pPr>
            <w:r>
              <w:t xml:space="preserve">Period / Location</w:t>
            </w:r>
          </w:p>
        </w:tc>
        <w:tc>
          <w:tcPr/>
          <w:p>
            <w:pPr>
              <w:pStyle w:val="Compact"/>
              <w:jc w:val="left"/>
            </w:pPr>
            <w:r>
              <w:t xml:space="preserve">Rate (EGP)</w:t>
            </w:r>
          </w:p>
        </w:tc>
        <w:tc>
          <w:tcPr/>
          <w:p>
            <w:pPr>
              <w:pStyle w:val="Compact"/>
              <w:jc w:val="left"/>
            </w:pPr>
            <w:r>
              <w:t xml:space="preserve">Qty</w:t>
            </w:r>
          </w:p>
        </w:tc>
        <w:tc>
          <w:tcPr/>
          <w:p>
            <w:pPr>
              <w:pStyle w:val="Compact"/>
              <w:jc w:val="left"/>
            </w:pPr>
            <w:r>
              <w:t xml:space="preserve">Amount (EGP)</w:t>
            </w:r>
          </w:p>
        </w:tc>
      </w:tr>
      <w:tr>
        <w:tc>
          <w:tcPr/>
          <w:p>
            <w:pPr>
              <w:pStyle w:val="Compact"/>
              <w:jc w:val="left"/>
            </w:pPr>
            <w:r>
              <w:t xml:space="preserve">01</w:t>
            </w:r>
          </w:p>
        </w:tc>
        <w:tc>
          <w:tcPr/>
          <w:p>
            <w:pPr>
              <w:pStyle w:val="Compact"/>
              <w:jc w:val="left"/>
            </w:pPr>
            <w:r>
              <w:t xml:space="preserve">Delivery of specialized industrial engineering lectures for the Alexandria Professional Development Program, covering advanced manufacturing systems and quality control methodologies.</w:t>
            </w:r>
          </w:p>
        </w:tc>
        <w:tc>
          <w:tcPr/>
          <w:p>
            <w:pPr>
              <w:pStyle w:val="Compact"/>
              <w:jc w:val="left"/>
            </w:pPr>
            <w:r>
              <w:t xml:space="preserve">Jan 2025 / Alexandria</w:t>
            </w:r>
          </w:p>
        </w:tc>
        <w:tc>
          <w:tcPr/>
          <w:p>
            <w:pPr>
              <w:pStyle w:val="Compact"/>
              <w:jc w:val="left"/>
            </w:pPr>
            <w:r>
              <w:t xml:space="preserve">2,500.00</w:t>
            </w:r>
          </w:p>
        </w:tc>
        <w:tc>
          <w:tcPr/>
          <w:p>
            <w:pPr>
              <w:pStyle w:val="Compact"/>
              <w:jc w:val="left"/>
            </w:pPr>
            <w:r>
              <w:t xml:space="preserve">8</w:t>
            </w:r>
          </w:p>
        </w:tc>
        <w:tc>
          <w:tcPr/>
          <w:p>
            <w:pPr>
              <w:pStyle w:val="Compact"/>
              <w:jc w:val="left"/>
            </w:pPr>
            <w:r>
              <w:t xml:space="preserve">20,000.00</w:t>
            </w:r>
          </w:p>
        </w:tc>
      </w:tr>
      <w:tr>
        <w:tc>
          <w:tcPr/>
          <w:p>
            <w:pPr>
              <w:pStyle w:val="Compact"/>
              <w:jc w:val="left"/>
            </w:pPr>
            <w:r>
              <w:t xml:space="preserve">02</w:t>
            </w:r>
          </w:p>
        </w:tc>
        <w:tc>
          <w:tcPr/>
          <w:p>
            <w:pPr>
              <w:pStyle w:val="Compact"/>
              <w:jc w:val="left"/>
            </w:pPr>
            <w:r>
              <w:t xml:space="preserve">Design and preparation of comprehensive course materials, laboratory manuals, and assessment frameworks for the University Lecturer engagement at the Alexandria Technical Training Center.</w:t>
            </w:r>
          </w:p>
        </w:tc>
        <w:tc>
          <w:tcPr/>
          <w:p>
            <w:pPr>
              <w:pStyle w:val="Compact"/>
              <w:jc w:val="left"/>
            </w:pPr>
            <w:r>
              <w:t xml:space="preserve">Feb 2025 / Alexandria</w:t>
            </w:r>
          </w:p>
        </w:tc>
        <w:tc>
          <w:tcPr/>
          <w:p>
            <w:pPr>
              <w:pStyle w:val="Compact"/>
              <w:jc w:val="left"/>
            </w:pPr>
            <w:r>
              <w:t xml:space="preserve">4,000.00</w:t>
            </w:r>
          </w:p>
        </w:tc>
        <w:tc>
          <w:tcPr/>
          <w:p>
            <w:pPr>
              <w:pStyle w:val="Compact"/>
              <w:jc w:val="left"/>
            </w:pPr>
            <w:r>
              <w:t xml:space="preserve">1</w:t>
            </w:r>
          </w:p>
        </w:tc>
        <w:tc>
          <w:tcPr/>
          <w:p>
            <w:pPr>
              <w:pStyle w:val="Compact"/>
              <w:jc w:val="left"/>
            </w:pPr>
            <w:r>
              <w:t xml:space="preserve">4,000.00</w:t>
            </w:r>
          </w:p>
        </w:tc>
      </w:tr>
      <w:tr>
        <w:tc>
          <w:tcPr/>
          <w:p>
            <w:pPr>
              <w:pStyle w:val="Compact"/>
              <w:jc w:val="left"/>
            </w:pPr>
            <w:r>
              <w:t xml:space="preserve">03</w:t>
            </w:r>
          </w:p>
        </w:tc>
        <w:tc>
          <w:tcPr/>
          <w:p>
            <w:pPr>
              <w:pStyle w:val="Compact"/>
              <w:jc w:val="left"/>
            </w:pPr>
            <w:r>
              <w:t xml:space="preserve">Supervision and evaluation of twelve (12) industrial trainees from Alexandria University as part of the joint academic-industry partnership program in Egypt Alexandria.</w:t>
            </w:r>
          </w:p>
        </w:tc>
        <w:tc>
          <w:tcPr/>
          <w:p>
            <w:pPr>
              <w:pStyle w:val="Compact"/>
              <w:jc w:val="left"/>
            </w:pPr>
            <w:r>
              <w:t xml:space="preserve">Mar 2025 / Alexandria</w:t>
            </w:r>
          </w:p>
        </w:tc>
        <w:tc>
          <w:tcPr/>
          <w:p>
            <w:pPr>
              <w:pStyle w:val="Compact"/>
              <w:jc w:val="left"/>
            </w:pPr>
            <w:r>
              <w:t xml:space="preserve">1,800.00</w:t>
            </w:r>
          </w:p>
        </w:tc>
        <w:tc>
          <w:tcPr/>
          <w:p>
            <w:pPr>
              <w:pStyle w:val="Compact"/>
              <w:jc w:val="left"/>
            </w:pPr>
            <w:r>
              <w:t xml:space="preserve">12</w:t>
            </w:r>
          </w:p>
        </w:tc>
        <w:tc>
          <w:tcPr/>
          <w:p>
            <w:pPr>
              <w:pStyle w:val="Compact"/>
              <w:jc w:val="left"/>
            </w:pPr>
            <w:r>
              <w:t xml:space="preserve">21,600.00</w:t>
            </w:r>
          </w:p>
        </w:tc>
      </w:tr>
      <w:tr>
        <w:tc>
          <w:tcPr/>
          <w:p>
            <w:pPr>
              <w:pStyle w:val="Compact"/>
              <w:jc w:val="left"/>
            </w:pPr>
            <w:r>
              <w:t xml:space="preserve">04</w:t>
            </w:r>
          </w:p>
        </w:tc>
        <w:tc>
          <w:tcPr/>
          <w:p>
            <w:pPr>
              <w:pStyle w:val="Compact"/>
              <w:jc w:val="left"/>
            </w:pPr>
            <w:r>
              <w:t xml:space="preserve">Conducting a two-day intensive workshop on "Sustainable Engineering Practices in the Mediterranean Region" hosted at the Alexandria Conference Center for industry professionals.</w:t>
            </w:r>
          </w:p>
        </w:tc>
        <w:tc>
          <w:tcPr/>
          <w:p>
            <w:pPr>
              <w:pStyle w:val="Compact"/>
              <w:jc w:val="left"/>
            </w:pPr>
            <w:r>
              <w:t xml:space="preserve">Apr 2025 / Alexandria</w:t>
            </w:r>
          </w:p>
        </w:tc>
        <w:tc>
          <w:tcPr/>
          <w:p>
            <w:pPr>
              <w:pStyle w:val="Compact"/>
              <w:jc w:val="left"/>
            </w:pPr>
            <w:r>
              <w:t xml:space="preserve">7,500.00</w:t>
            </w:r>
          </w:p>
        </w:tc>
        <w:tc>
          <w:tcPr/>
          <w:p>
            <w:pPr>
              <w:pStyle w:val="Compact"/>
              <w:jc w:val="left"/>
            </w:pPr>
            <w:r>
              <w:t xml:space="preserve">2</w:t>
            </w:r>
          </w:p>
        </w:tc>
        <w:tc>
          <w:tcPr/>
          <w:p>
            <w:pPr>
              <w:pStyle w:val="Compact"/>
              <w:jc w:val="left"/>
            </w:pPr>
            <w:r>
              <w:t xml:space="preserve">15,000.00</w:t>
            </w:r>
          </w:p>
        </w:tc>
      </w:tr>
      <w:tr>
        <w:tc>
          <w:tcPr/>
          <w:p>
            <w:pPr>
              <w:pStyle w:val="Compact"/>
              <w:jc w:val="left"/>
            </w:pPr>
            <w:r>
              <w:t xml:space="preserve">05</w:t>
            </w:r>
          </w:p>
        </w:tc>
        <w:tc>
          <w:tcPr/>
          <w:p>
            <w:pPr>
              <w:pStyle w:val="Compact"/>
              <w:jc w:val="left"/>
            </w:pPr>
            <w:r>
              <w:t xml:space="preserve">Peer review and academic consultation services for the Alexandria Regional Research Grant Committee, including evaluation of five (5) research proposals submitted by local institutions in Egypt Alexandria.</w:t>
            </w:r>
          </w:p>
        </w:tc>
        <w:tc>
          <w:tcPr/>
          <w:p>
            <w:pPr>
              <w:pStyle w:val="Compact"/>
              <w:jc w:val="left"/>
            </w:pPr>
            <w:r>
              <w:t xml:space="preserve">May 2025 / Alexandria</w:t>
            </w:r>
          </w:p>
        </w:tc>
        <w:tc>
          <w:tcPr/>
          <w:p>
            <w:pPr>
              <w:pStyle w:val="Compact"/>
              <w:jc w:val="left"/>
            </w:pPr>
            <w:r>
              <w:t xml:space="preserve">3,200.00</w:t>
            </w:r>
          </w:p>
        </w:tc>
        <w:tc>
          <w:tcPr/>
          <w:p>
            <w:pPr>
              <w:pStyle w:val="Compact"/>
              <w:jc w:val="left"/>
            </w:pPr>
            <w:r>
              <w:t xml:space="preserve">5</w:t>
            </w:r>
          </w:p>
        </w:tc>
        <w:tc>
          <w:tcPr/>
          <w:p>
            <w:pPr>
              <w:pStyle w:val="Compact"/>
              <w:jc w:val="left"/>
            </w:pPr>
            <w:r>
              <w:t xml:space="preserve">16,000.00</w:t>
            </w:r>
          </w:p>
        </w:tc>
      </w:tr>
      <w:tr>
        <w:tc>
          <w:tcPr/>
          <w:p>
            <w:pPr>
              <w:pStyle w:val="Compact"/>
              <w:jc w:val="left"/>
            </w:pPr>
            <w:r>
              <w:t xml:space="preserve">06</w:t>
            </w:r>
          </w:p>
        </w:tc>
        <w:tc>
          <w:tcPr/>
          <w:p>
            <w:pPr>
              <w:pStyle w:val="Compact"/>
              <w:jc w:val="left"/>
            </w:pPr>
            <w:r>
              <w:t xml:space="preserve">Preparation of a formal academic report and final presentation summarizing the outcomes of the University Lecturer engagement, to be submitted to the Alexandria Governorate Education Office.</w:t>
            </w:r>
          </w:p>
        </w:tc>
        <w:tc>
          <w:tcPr/>
          <w:p>
            <w:pPr>
              <w:pStyle w:val="Compact"/>
              <w:jc w:val="left"/>
            </w:pPr>
            <w:r>
              <w:t xml:space="preserve">Jun 2025 / Alexandria</w:t>
            </w:r>
          </w:p>
        </w:tc>
        <w:tc>
          <w:tcPr/>
          <w:p>
            <w:pPr>
              <w:pStyle w:val="Compact"/>
              <w:jc w:val="left"/>
            </w:pPr>
            <w:r>
              <w:t xml:space="preserve">5,000.00</w:t>
            </w:r>
          </w:p>
        </w:tc>
        <w:tc>
          <w:tcPr/>
          <w:p>
            <w:pPr>
              <w:pStyle w:val="Compact"/>
              <w:jc w:val="left"/>
            </w:pPr>
            <w:r>
              <w:t xml:space="preserve">1</w:t>
            </w:r>
          </w:p>
        </w:tc>
        <w:tc>
          <w:tcPr/>
          <w:p>
            <w:pPr>
              <w:pStyle w:val="Compact"/>
              <w:jc w:val="left"/>
            </w:pPr>
            <w:r>
              <w:t xml:space="preserve">5,000.00</w:t>
            </w:r>
          </w:p>
        </w:tc>
      </w:tr>
    </w:tbl>
    <w:p>
      <w:pPr>
        <w:pStyle w:val="BodyText"/>
      </w:pPr>
      <w:r>
        <w:t xml:space="preserve">Subtotal (EGP):</w:t>
      </w:r>
      <w:r>
        <w:t xml:space="preserve">81,600.00</w:t>
      </w:r>
    </w:p>
    <w:p>
      <w:pPr>
        <w:pStyle w:val="BodyText"/>
      </w:pPr>
      <w:r>
        <w:t xml:space="preserve">VAT @ 14% (Egyptian Tax Authority):</w:t>
      </w:r>
      <w:r>
        <w:t xml:space="preserve">11,424.00</w:t>
      </w:r>
    </w:p>
    <w:p>
      <w:pPr>
        <w:pStyle w:val="BodyText"/>
      </w:pPr>
      <w:r>
        <w:t xml:space="preserve">Withholding Tax @ 10% (per Egyptian Tax Law):</w:t>
      </w:r>
      <w:r>
        <w:t xml:space="preserve">(8,160.00)</w:t>
      </w:r>
    </w:p>
    <w:p>
      <w:pPr>
        <w:pStyle w:val="BodyText"/>
      </w:pPr>
      <w:r>
        <w:t xml:space="preserve">Net Amount Due (EGP):</w:t>
      </w:r>
      <w:r>
        <w:t xml:space="preserve">84,864.00</w:t>
      </w:r>
    </w:p>
    <w:bookmarkStart w:id="23" w:name="payment-instructions"/>
    <w:p>
      <w:pPr>
        <w:pStyle w:val="Heading3"/>
      </w:pPr>
      <w:r>
        <w:t xml:space="preserve">Payment Instructions</w:t>
      </w:r>
    </w:p>
    <w:p>
      <w:pPr>
        <w:pStyle w:val="FirstParagraph"/>
      </w:pPr>
      <w:r>
        <w:t xml:space="preserve">This Invoice must be settled within fifteen (15) calendar days from the date of issue, in accordance with the contractual agreement between the University Lecturer and the Alexandria Industrial Development Authority.</w:t>
      </w:r>
    </w:p>
    <w:p>
      <w:pPr>
        <w:pStyle w:val="BodyText"/>
      </w:pPr>
      <w:r>
        <w:rPr>
          <w:bCs/>
          <w:b/>
        </w:rPr>
        <w:t xml:space="preserve">Bank:</w:t>
      </w:r>
      <w:r>
        <w:t xml:space="preserve"> </w:t>
      </w:r>
      <w:r>
        <w:t xml:space="preserve">National Bank of Egypt, Alexandria Main Branch</w:t>
      </w:r>
    </w:p>
    <w:p>
      <w:pPr>
        <w:pStyle w:val="BodyText"/>
      </w:pPr>
      <w:r>
        <w:rPr>
          <w:bCs/>
          <w:b/>
        </w:rPr>
        <w:t xml:space="preserve">Account Name:</w:t>
      </w:r>
      <w:r>
        <w:t xml:space="preserve"> </w:t>
      </w:r>
      <w:r>
        <w:t xml:space="preserve">Dr. Ahmed Hassan El-Sayed</w:t>
      </w:r>
    </w:p>
    <w:p>
      <w:pPr>
        <w:pStyle w:val="BodyText"/>
      </w:pPr>
      <w:r>
        <w:rPr>
          <w:bCs/>
          <w:b/>
        </w:rPr>
        <w:t xml:space="preserve">Account Number (IBAN):</w:t>
      </w:r>
      <w:r>
        <w:t xml:space="preserve"> </w:t>
      </w:r>
      <w:r>
        <w:t xml:space="preserve">EG38 NBEK 0000 1099 9999 9999 9999</w:t>
      </w:r>
    </w:p>
    <w:p>
      <w:pPr>
        <w:pStyle w:val="BodyText"/>
      </w:pPr>
      <w:r>
        <w:rPr>
          <w:bCs/>
          <w:b/>
        </w:rPr>
        <w:t xml:space="preserve">SWIFT Code:</w:t>
      </w:r>
      <w:r>
        <w:t xml:space="preserve"> </w:t>
      </w:r>
      <w:r>
        <w:t xml:space="preserve">NBEKEGCAXXX</w:t>
      </w:r>
    </w:p>
    <w:p>
      <w:pPr>
        <w:pStyle w:val="BodyText"/>
      </w:pPr>
      <w:r>
        <w:rPr>
          <w:bCs/>
          <w:b/>
        </w:rPr>
        <w:t xml:space="preserve">Reference:</w:t>
      </w:r>
      <w:r>
        <w:t xml:space="preserve"> </w:t>
      </w:r>
      <w:r>
        <w:t xml:space="preserve">Please cite Invoice No. INV-ALX-2025-0472 in all payment communications.</w:t>
      </w:r>
    </w:p>
    <w:bookmarkEnd w:id="23"/>
    <w:bookmarkStart w:id="24" w:name="important-notes-terms"/>
    <w:p>
      <w:pPr>
        <w:pStyle w:val="Heading3"/>
      </w:pPr>
      <w:r>
        <w:t xml:space="preserve">Important Notes &amp; Terms</w:t>
      </w:r>
    </w:p>
    <w:p>
      <w:pPr>
        <w:pStyle w:val="FirstParagraph"/>
      </w:pPr>
      <w:r>
        <w:t xml:space="preserve">1. This Invoice is issued in full compliance with the Egyptian Tax Authority regulations and the Alexandria Governorate procurement guidelines for academic and professional services.</w:t>
      </w:r>
    </w:p>
    <w:p>
      <w:pPr>
        <w:pStyle w:val="BodyText"/>
      </w:pPr>
      <w:r>
        <w:t xml:space="preserve">2. All services rendered by the University Lecturer were conducted within the administrative boundaries of Egypt Alexandria, and all applicable local taxes and levies have been accounted for in this document.</w:t>
      </w:r>
    </w:p>
    <w:p>
      <w:pPr>
        <w:pStyle w:val="BodyText"/>
      </w:pPr>
      <w:r>
        <w:t xml:space="preserve">3. Late payments on this Invoice shall incur a penalty of 1.5% per month, calculated from the due date, as stipulated in the service agreement signed on 5 January 2025.</w:t>
      </w:r>
    </w:p>
    <w:p>
      <w:pPr>
        <w:pStyle w:val="BodyText"/>
      </w:pPr>
      <w:r>
        <w:t xml:space="preserve">4. The University Lecturer reserves the right to issue a revised Invoice should any correction or amendment to the scope of services be mutually agreed upon in writing by both parties.</w:t>
      </w:r>
    </w:p>
    <w:p>
      <w:pPr>
        <w:pStyle w:val="BodyText"/>
      </w:pPr>
      <w:r>
        <w:t xml:space="preserve">5. This Invoice constitutes a valid financial document for accounting, tax filing, and audit purposes under Egyptian commercial law. A stamped copy must be retained by both parties for a minimum period of five (5) years.</w:t>
      </w:r>
    </w:p>
    <w:p>
      <w:pPr>
        <w:pStyle w:val="BodyText"/>
      </w:pPr>
      <w:r>
        <w:t xml:space="preserve">6. All intellectual property rights associated with course materials, research outputs, and workshop content developed during this University Lecturer engagement remain subject to the separate Intellectual Property Agreement dated 5 January 2025.</w:t>
      </w:r>
    </w:p>
    <w:bookmarkEnd w:id="24"/>
    <w:p>
      <w:pPr>
        <w:pStyle w:val="BodyText"/>
      </w:pPr>
      <w:r>
        <w:rPr>
          <w:bCs/>
          <w:b/>
        </w:rPr>
        <w:t xml:space="preserve">Dr. Ahmed Hassan El-Sayed</w:t>
      </w:r>
    </w:p>
    <w:p>
      <w:pPr>
        <w:pStyle w:val="BodyText"/>
      </w:pPr>
      <w:r>
        <w:t xml:space="preserve">University Lecturer — Issuer</w:t>
      </w:r>
    </w:p>
    <w:p>
      <w:pPr>
        <w:pStyle w:val="BodyText"/>
      </w:pPr>
      <w:r>
        <w:t xml:space="preserve">Alexandria, Egypt</w:t>
      </w:r>
    </w:p>
    <w:p>
      <w:pPr>
        <w:pStyle w:val="BodyText"/>
      </w:pPr>
      <w:r>
        <w:rPr>
          <w:bCs/>
          <w:b/>
        </w:rPr>
        <w:t xml:space="preserve">Mr. Khaled Mostafa</w:t>
      </w:r>
    </w:p>
    <w:p>
      <w:pPr>
        <w:pStyle w:val="BodyText"/>
      </w:pPr>
      <w:r>
        <w:t xml:space="preserve">Procurement Officer — Receiver</w:t>
      </w:r>
    </w:p>
    <w:p>
      <w:pPr>
        <w:pStyle w:val="BodyText"/>
      </w:pPr>
      <w:r>
        <w:t xml:space="preserve">Alexandria Industrial Development Authority</w:t>
      </w:r>
    </w:p>
    <w:p>
      <w:pPr>
        <w:pStyle w:val="BodyText"/>
      </w:pPr>
      <w:r>
        <w:rPr>
          <w:bCs/>
          <w:b/>
        </w:rPr>
        <w:t xml:space="preserve">Invoice INV-ALX-2025-0472</w:t>
      </w:r>
      <w:r>
        <w:t xml:space="preserve"> </w:t>
      </w:r>
      <w:r>
        <w:t xml:space="preserve">— University Lecturer Professional Services — Egypt Alexandria</w:t>
      </w:r>
    </w:p>
    <w:p>
      <w:pPr>
        <w:pStyle w:val="BodyText"/>
      </w:pPr>
      <w:r>
        <w:t xml:space="preserve">This document was generated electronically and is valid without a physical stamp per Egyptian Electronic Transactions Law No. 15 of 2004.</w:t>
      </w:r>
    </w:p>
    <w:p>
      <w:pPr>
        <w:pStyle w:val="BodyText"/>
      </w:pPr>
      <w:r>
        <w:t xml:space="preserve">For inquiries regarding this Invoice, please contact the University Lecturer directly at a.el-sayed@alexu.edu.eg or via the Alexandria University Administration Office, El-Mekky Street, Aboukir, Alexandria, Egypt.</w:t>
      </w:r>
    </w:p>
    <w:p>
      <w:pPr>
        <w:pStyle w:val="BodyText"/>
      </w:pPr>
      <w:r>
        <w:t xml:space="preserve">© 2025 Dr. Ahmed Hassan El-Sayed. All rights reserved. This Invoice is the property of the issuing University Lecturer and may not be reproduced without written consent.</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University Lecturer Services - Egypt Alexandria</dc:title>
  <dc:creator/>
  <dc:language>en</dc:language>
  <cp:keywords/>
  <dcterms:created xsi:type="dcterms:W3CDTF">2026-10-10T02:44:20Z</dcterms:created>
  <dcterms:modified xsi:type="dcterms:W3CDTF">2026-10-10T02:44:20Z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