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invoice"/>
    <w:p>
      <w:pPr>
        <w:pStyle w:val="Heading1"/>
      </w:pPr>
      <w:r>
        <w:t xml:space="preserve">INVOICE</w:t>
      </w:r>
    </w:p>
    <w:p>
      <w:pPr>
        <w:pStyle w:val="FirstParagraph"/>
      </w:pPr>
      <w:r>
        <w:t xml:space="preserve">University Lecturer Professional Services — Qatar Doha Academic Engagement</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INV-QD-2025-0487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Qatar Doha Region</w:t>
      </w:r>
    </w:p>
    <w:bookmarkEnd w:id="21"/>
    <w:bookmarkStart w:id="22" w:name="university-lecturer-service-provider"/>
    <w:p>
      <w:pPr>
        <w:pStyle w:val="Heading4"/>
      </w:pPr>
      <w:r>
        <w:t xml:space="preserve">University Lecturer (Service Provider)</w:t>
      </w:r>
    </w:p>
    <w:p>
      <w:pPr>
        <w:pStyle w:val="FirstParagraph"/>
      </w:pPr>
      <w:r>
        <w:rPr>
          <w:bCs/>
          <w:b/>
        </w:rPr>
        <w:t xml:space="preserve">Name:</w:t>
      </w:r>
      <w:r>
        <w:t xml:space="preserve"> </w:t>
      </w:r>
      <w:r>
        <w:t xml:space="preserve">Dr. Ahmed Al-Mansoori</w:t>
      </w:r>
    </w:p>
    <w:p>
      <w:pPr>
        <w:pStyle w:val="BodyText"/>
      </w:pPr>
      <w:r>
        <w:rPr>
          <w:bCs/>
          <w:b/>
        </w:rPr>
        <w:t xml:space="preserve">Title:</w:t>
      </w:r>
      <w:r>
        <w:t xml:space="preserve"> </w:t>
      </w:r>
      <w:r>
        <w:t xml:space="preserve">Senior University Lecturer, Department of Engineering Sciences</w:t>
      </w:r>
    </w:p>
    <w:p>
      <w:pPr>
        <w:pStyle w:val="BodyText"/>
      </w:pPr>
      <w:r>
        <w:rPr>
          <w:bCs/>
          <w:b/>
        </w:rPr>
        <w:t xml:space="preserve">Address:</w:t>
      </w:r>
      <w:r>
        <w:t xml:space="preserve"> </w:t>
      </w:r>
      <w:r>
        <w:t xml:space="preserve">Villa 14, Al Sadd District, Doha, Qatar</w:t>
      </w:r>
    </w:p>
    <w:p>
      <w:pPr>
        <w:pStyle w:val="BodyText"/>
      </w:pPr>
      <w:r>
        <w:rPr>
          <w:bCs/>
          <w:b/>
        </w:rPr>
        <w:t xml:space="preserve">Phone:</w:t>
      </w:r>
      <w:r>
        <w:t xml:space="preserve"> </w:t>
      </w:r>
      <w:r>
        <w:t xml:space="preserve">+974 5512 3456</w:t>
      </w:r>
    </w:p>
    <w:p>
      <w:pPr>
        <w:pStyle w:val="BodyText"/>
      </w:pPr>
      <w:r>
        <w:rPr>
          <w:bCs/>
          <w:b/>
        </w:rPr>
        <w:t xml:space="preserve">Email:</w:t>
      </w:r>
      <w:r>
        <w:t xml:space="preserve"> </w:t>
      </w:r>
      <w:r>
        <w:t xml:space="preserve">a.mansoori@university.edu.qa</w:t>
      </w:r>
    </w:p>
    <w:p>
      <w:pPr>
        <w:pStyle w:val="BodyText"/>
      </w:pPr>
      <w:r>
        <w:rPr>
          <w:bCs/>
          <w:b/>
        </w:rPr>
        <w:t xml:space="preserve">Qatar Tax Registration No.:</w:t>
      </w:r>
      <w:r>
        <w:t xml:space="preserve"> </w:t>
      </w:r>
      <w:r>
        <w:t xml:space="preserve">QTR-2024-88341</w:t>
      </w:r>
    </w:p>
    <w:bookmarkEnd w:id="22"/>
    <w:bookmarkStart w:id="23" w:name="billed-to-client-institution"/>
    <w:p>
      <w:pPr>
        <w:pStyle w:val="Heading4"/>
      </w:pPr>
      <w:r>
        <w:t xml:space="preserve">Billed To (Client / Institution)</w:t>
      </w:r>
    </w:p>
    <w:p>
      <w:pPr>
        <w:pStyle w:val="FirstParagraph"/>
      </w:pPr>
      <w:r>
        <w:rPr>
          <w:bCs/>
          <w:b/>
        </w:rPr>
        <w:t xml:space="preserve">Institution:</w:t>
      </w:r>
      <w:r>
        <w:t xml:space="preserve"> </w:t>
      </w:r>
      <w:r>
        <w:t xml:space="preserve">Qatar National University — Office of Academic Affairs</w:t>
      </w:r>
    </w:p>
    <w:p>
      <w:pPr>
        <w:pStyle w:val="BodyText"/>
      </w:pPr>
      <w:r>
        <w:rPr>
          <w:bCs/>
          <w:b/>
        </w:rPr>
        <w:t xml:space="preserve">Attention:</w:t>
      </w:r>
      <w:r>
        <w:t xml:space="preserve"> </w:t>
      </w:r>
      <w:r>
        <w:t xml:space="preserve">Prof. Fatima Al-Khalifa, Dean of Engineering</w:t>
      </w:r>
    </w:p>
    <w:p>
      <w:pPr>
        <w:pStyle w:val="BodyText"/>
      </w:pPr>
      <w:r>
        <w:rPr>
          <w:bCs/>
          <w:b/>
        </w:rPr>
        <w:t xml:space="preserve">Address:</w:t>
      </w:r>
      <w:r>
        <w:t xml:space="preserve"> </w:t>
      </w:r>
      <w:r>
        <w:t xml:space="preserve">Education City, Doha, Qatar</w:t>
      </w:r>
    </w:p>
    <w:p>
      <w:pPr>
        <w:pStyle w:val="BodyText"/>
      </w:pPr>
      <w:r>
        <w:rPr>
          <w:bCs/>
          <w:b/>
        </w:rPr>
        <w:t xml:space="preserve">Phone:</w:t>
      </w:r>
      <w:r>
        <w:t xml:space="preserve"> </w:t>
      </w:r>
      <w:r>
        <w:t xml:space="preserve">+974 4455 6677</w:t>
      </w:r>
    </w:p>
    <w:p>
      <w:pPr>
        <w:pStyle w:val="BodyText"/>
      </w:pPr>
      <w:r>
        <w:rPr>
          <w:bCs/>
          <w:b/>
        </w:rPr>
        <w:t xml:space="preserve">Email:</w:t>
      </w:r>
      <w:r>
        <w:t xml:space="preserve"> </w:t>
      </w:r>
      <w:r>
        <w:t xml:space="preserve">academic-affairs@qnu.edu.qa</w:t>
      </w:r>
    </w:p>
    <w:p>
      <w:pPr>
        <w:pStyle w:val="BodyText"/>
      </w:pPr>
      <w:r>
        <w:rPr>
          <w:bCs/>
          <w:b/>
        </w:rPr>
        <w:t xml:space="preserve">PO Reference:</w:t>
      </w:r>
      <w:r>
        <w:t xml:space="preserve"> </w:t>
      </w:r>
      <w:r>
        <w:t xml:space="preserve">QNU-ENG-2025-0231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University Lecturer Services</w:t>
            </w:r>
          </w:p>
        </w:tc>
        <w:tc>
          <w:tcPr/>
          <w:p>
            <w:pPr>
              <w:pStyle w:val="Compact"/>
              <w:jc w:val="left"/>
            </w:pPr>
            <w:r>
              <w:t xml:space="preserve">Course / Module</w:t>
            </w:r>
          </w:p>
        </w:tc>
        <w:tc>
          <w:tcPr/>
          <w:p>
            <w:pPr>
              <w:pStyle w:val="Compact"/>
              <w:jc w:val="left"/>
            </w:pPr>
            <w:r>
              <w:t xml:space="preserve">Hours</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Delivery of advanced lectures in Structural Engineering for the Spring 2025 semester. The University Lecturer conducted 12 weekly sessions at the Doha campus, including theoretical instruction, laboratory demonstrations, and student assessment preparation.</w:t>
            </w:r>
          </w:p>
        </w:tc>
        <w:tc>
          <w:tcPr/>
          <w:p>
            <w:pPr>
              <w:pStyle w:val="Compact"/>
              <w:jc w:val="left"/>
            </w:pPr>
            <w:r>
              <w:t xml:space="preserve">ENG-402</w:t>
            </w:r>
          </w:p>
        </w:tc>
        <w:tc>
          <w:tcPr/>
          <w:p>
            <w:pPr>
              <w:pStyle w:val="Compact"/>
              <w:jc w:val="left"/>
            </w:pPr>
            <w:r>
              <w:t xml:space="preserve">48</w:t>
            </w:r>
          </w:p>
        </w:tc>
        <w:tc>
          <w:tcPr/>
          <w:p>
            <w:pPr>
              <w:pStyle w:val="Compact"/>
              <w:jc w:val="left"/>
            </w:pPr>
            <w:r>
              <w:t xml:space="preserve">350.00</w:t>
            </w:r>
          </w:p>
        </w:tc>
        <w:tc>
          <w:tcPr/>
          <w:p>
            <w:pPr>
              <w:pStyle w:val="Compact"/>
              <w:jc w:val="left"/>
            </w:pPr>
            <w:r>
              <w:t xml:space="preserve">16,800.00</w:t>
            </w:r>
          </w:p>
        </w:tc>
      </w:tr>
      <w:tr>
        <w:tc>
          <w:tcPr/>
          <w:p>
            <w:pPr>
              <w:pStyle w:val="Compact"/>
              <w:jc w:val="left"/>
            </w:pPr>
            <w:r>
              <w:t xml:space="preserve">2</w:t>
            </w:r>
          </w:p>
        </w:tc>
        <w:tc>
          <w:tcPr/>
          <w:p>
            <w:pPr>
              <w:pStyle w:val="Compact"/>
              <w:jc w:val="left"/>
            </w:pPr>
            <w:r>
              <w:t xml:space="preserve">Supervision and evaluation of undergraduate thesis projects. The University Lecturer provided one-on-one mentoring to six students in Qatar Doha, conducting bi-weekly progress reviews, manuscript editing, and final oral examination participation.</w:t>
            </w:r>
          </w:p>
        </w:tc>
        <w:tc>
          <w:tcPr/>
          <w:p>
            <w:pPr>
              <w:pStyle w:val="Compact"/>
              <w:jc w:val="left"/>
            </w:pPr>
            <w:r>
              <w:t xml:space="preserve">ENG-499</w:t>
            </w:r>
          </w:p>
        </w:tc>
        <w:tc>
          <w:tcPr/>
          <w:p>
            <w:pPr>
              <w:pStyle w:val="Compact"/>
              <w:jc w:val="left"/>
            </w:pPr>
            <w:r>
              <w:t xml:space="preserve">36</w:t>
            </w:r>
          </w:p>
        </w:tc>
        <w:tc>
          <w:tcPr/>
          <w:p>
            <w:pPr>
              <w:pStyle w:val="Compact"/>
              <w:jc w:val="left"/>
            </w:pPr>
            <w:r>
              <w:t xml:space="preserve">400.00</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Development of new curriculum materials and digital learning resources for the Department of Engineering Sciences. This University Lecturer engagement included the creation of 24 interactive lecture modules, 120 problem sets, and a comprehensive digital assessment bank hosted on the Qatar Doha institutional learning platform.</w:t>
            </w:r>
          </w:p>
        </w:tc>
        <w:tc>
          <w:tcPr/>
          <w:p>
            <w:pPr>
              <w:pStyle w:val="Compact"/>
              <w:jc w:val="left"/>
            </w:pPr>
            <w:r>
              <w:t xml:space="preserve">ENG-310</w:t>
            </w:r>
          </w:p>
        </w:tc>
        <w:tc>
          <w:tcPr/>
          <w:p>
            <w:pPr>
              <w:pStyle w:val="Compact"/>
              <w:jc w:val="left"/>
            </w:pPr>
            <w:r>
              <w:t xml:space="preserve">40</w:t>
            </w:r>
          </w:p>
        </w:tc>
        <w:tc>
          <w:tcPr/>
          <w:p>
            <w:pPr>
              <w:pStyle w:val="Compact"/>
              <w:jc w:val="left"/>
            </w:pPr>
            <w:r>
              <w:t xml:space="preserve">375.00</w:t>
            </w:r>
          </w:p>
        </w:tc>
        <w:tc>
          <w:tcPr/>
          <w:p>
            <w:pPr>
              <w:pStyle w:val="Compact"/>
              <w:jc w:val="left"/>
            </w:pPr>
            <w:r>
              <w:t xml:space="preserve">15,000.00</w:t>
            </w:r>
          </w:p>
        </w:tc>
      </w:tr>
      <w:tr>
        <w:tc>
          <w:tcPr/>
          <w:p>
            <w:pPr>
              <w:pStyle w:val="Compact"/>
              <w:jc w:val="left"/>
            </w:pPr>
            <w:r>
              <w:t xml:space="preserve">4</w:t>
            </w:r>
          </w:p>
        </w:tc>
        <w:tc>
          <w:tcPr/>
          <w:p>
            <w:pPr>
              <w:pStyle w:val="Compact"/>
              <w:jc w:val="left"/>
            </w:pPr>
            <w:r>
              <w:t xml:space="preserve">Participation in the Qatar Doha International Engineering Conference 2025. The University Lecturer delivered a keynote address, chaired two panel discussions, and reviewed 18 peer-reviewed submissions on behalf of the organizing committee.</w:t>
            </w:r>
          </w:p>
        </w:tc>
        <w:tc>
          <w:tcPr/>
          <w:p>
            <w:pPr>
              <w:pStyle w:val="Compact"/>
              <w:jc w:val="left"/>
            </w:pPr>
            <w:r>
              <w:t xml:space="preserve">Conference</w:t>
            </w:r>
          </w:p>
        </w:tc>
        <w:tc>
          <w:tcPr/>
          <w:p>
            <w:pPr>
              <w:pStyle w:val="Compact"/>
              <w:jc w:val="left"/>
            </w:pPr>
            <w:r>
              <w:t xml:space="preserve">16</w:t>
            </w:r>
          </w:p>
        </w:tc>
        <w:tc>
          <w:tcPr/>
          <w:p>
            <w:pPr>
              <w:pStyle w:val="Compact"/>
              <w:jc w:val="left"/>
            </w:pPr>
            <w:r>
              <w:t xml:space="preserve">500.00</w:t>
            </w:r>
          </w:p>
        </w:tc>
        <w:tc>
          <w:tcPr/>
          <w:p>
            <w:pPr>
              <w:pStyle w:val="Compact"/>
              <w:jc w:val="left"/>
            </w:pPr>
            <w:r>
              <w:t xml:space="preserve">8,000.00</w:t>
            </w:r>
          </w:p>
        </w:tc>
      </w:tr>
      <w:tr>
        <w:tc>
          <w:tcPr/>
          <w:p>
            <w:pPr>
              <w:pStyle w:val="Compact"/>
              <w:jc w:val="left"/>
            </w:pPr>
            <w:r>
              <w:t xml:space="preserve">5</w:t>
            </w:r>
          </w:p>
        </w:tc>
        <w:tc>
          <w:tcPr/>
          <w:p>
            <w:pPr>
              <w:pStyle w:val="Compact"/>
              <w:jc w:val="left"/>
            </w:pPr>
            <w:r>
              <w:t xml:space="preserve">Administrative duties and committee service. The University Lecturer served as a member of the Academic Standards Committee in Qatar Doha, attending eight monthly meetings, preparing quarterly compliance reports, and contributing to the annual institutional accreditation documentation.</w:t>
            </w:r>
          </w:p>
        </w:tc>
        <w:tc>
          <w:tcPr/>
          <w:p>
            <w:pPr>
              <w:pStyle w:val="Compact"/>
              <w:jc w:val="left"/>
            </w:pPr>
            <w:r>
              <w:t xml:space="preserve">Admin</w:t>
            </w:r>
          </w:p>
        </w:tc>
        <w:tc>
          <w:tcPr/>
          <w:p>
            <w:pPr>
              <w:pStyle w:val="Compact"/>
              <w:jc w:val="left"/>
            </w:pPr>
            <w:r>
              <w:t xml:space="preserve">24</w:t>
            </w:r>
          </w:p>
        </w:tc>
        <w:tc>
          <w:tcPr/>
          <w:p>
            <w:pPr>
              <w:pStyle w:val="Compact"/>
              <w:jc w:val="left"/>
            </w:pPr>
            <w:r>
              <w:t xml:space="preserve">300.00</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Industry collaboration and guest lecture series. The University Lecturer coordinated and delivered a four-week guest lecture series in partnership with Qatar Energy, held at the Doha Technology Park, covering applied engineering principles for industry professionals.</w:t>
            </w:r>
          </w:p>
        </w:tc>
        <w:tc>
          <w:tcPr/>
          <w:p>
            <w:pPr>
              <w:pStyle w:val="Compact"/>
              <w:jc w:val="left"/>
            </w:pPr>
            <w:r>
              <w:t xml:space="preserve">ENG-EXT</w:t>
            </w:r>
          </w:p>
        </w:tc>
        <w:tc>
          <w:tcPr/>
          <w:p>
            <w:pPr>
              <w:pStyle w:val="Compact"/>
              <w:jc w:val="left"/>
            </w:pPr>
            <w:r>
              <w:t xml:space="preserve">20</w:t>
            </w:r>
          </w:p>
        </w:tc>
        <w:tc>
          <w:tcPr/>
          <w:p>
            <w:pPr>
              <w:pStyle w:val="Compact"/>
              <w:jc w:val="left"/>
            </w:pPr>
            <w:r>
              <w:t xml:space="preserve">450.00</w:t>
            </w:r>
          </w:p>
        </w:tc>
        <w:tc>
          <w:tcPr/>
          <w:p>
            <w:pPr>
              <w:pStyle w:val="Compact"/>
              <w:jc w:val="left"/>
            </w:pPr>
            <w:r>
              <w:t xml:space="preserve">9,000.00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70,400.00 QAR</w:t>
            </w:r>
          </w:p>
        </w:tc>
      </w:tr>
      <w:tr>
        <w:tc>
          <w:tcPr/>
          <w:p>
            <w:pPr>
              <w:pStyle w:val="Compact"/>
              <w:jc w:val="left"/>
            </w:pPr>
            <w:r>
              <w:t xml:space="preserve">VAT (5% — Qatar Standard Rate)</w:t>
            </w:r>
          </w:p>
        </w:tc>
        <w:tc>
          <w:tcPr/>
          <w:p>
            <w:pPr>
              <w:pStyle w:val="Compact"/>
              <w:jc w:val="left"/>
            </w:pPr>
            <w:r>
              <w:t xml:space="preserve">3,520.00 QAR</w:t>
            </w:r>
          </w:p>
        </w:tc>
      </w:tr>
      <w:tr>
        <w:tc>
          <w:tcPr/>
          <w:p>
            <w:pPr>
              <w:pStyle w:val="Compact"/>
              <w:jc w:val="left"/>
            </w:pPr>
            <w:r>
              <w:t xml:space="preserve">Travel &amp; Local Transport Allowance (Qatar Doha)</w:t>
            </w:r>
          </w:p>
        </w:tc>
        <w:tc>
          <w:tcPr/>
          <w:p>
            <w:pPr>
              <w:pStyle w:val="Compact"/>
              <w:jc w:val="left"/>
            </w:pPr>
            <w:r>
              <w:t xml:space="preserve">1,200.00 QAR</w:t>
            </w:r>
          </w:p>
        </w:tc>
      </w:tr>
      <w:tr>
        <w:tc>
          <w:tcPr/>
          <w:p>
            <w:pPr>
              <w:pStyle w:val="Compact"/>
              <w:jc w:val="left"/>
            </w:pPr>
            <w:r>
              <w:t xml:space="preserve">Printing &amp; Material Costs</w:t>
            </w:r>
          </w:p>
        </w:tc>
        <w:tc>
          <w:tcPr/>
          <w:p>
            <w:pPr>
              <w:pStyle w:val="Compact"/>
              <w:jc w:val="left"/>
            </w:pPr>
            <w:r>
              <w:t xml:space="preserve">480.00 QAR</w:t>
            </w:r>
          </w:p>
        </w:tc>
      </w:tr>
      <w:tr>
        <w:tc>
          <w:tcPr/>
          <w:p>
            <w:pPr>
              <w:pStyle w:val="Compact"/>
              <w:jc w:val="left"/>
            </w:pPr>
            <w:r>
              <w:t xml:space="preserve">GRAND TOTAL DUE</w:t>
            </w:r>
          </w:p>
        </w:tc>
        <w:tc>
          <w:tcPr/>
          <w:p>
            <w:pPr>
              <w:pStyle w:val="Compact"/>
              <w:jc w:val="left"/>
            </w:pPr>
            <w:r>
              <w:t xml:space="preserve">75,600.00 QAR</w:t>
            </w:r>
          </w:p>
        </w:tc>
      </w:tr>
    </w:tbl>
    <w:bookmarkStart w:id="24" w:name="invoice-notes-terms-of-service"/>
    <w:p>
      <w:pPr>
        <w:pStyle w:val="Heading4"/>
      </w:pPr>
      <w:r>
        <w:t xml:space="preserve">Invoice Notes &amp; Terms of Service</w:t>
      </w:r>
    </w:p>
    <w:p>
      <w:pPr>
        <w:pStyle w:val="FirstParagraph"/>
      </w:pPr>
      <w:r>
        <w:rPr>
          <w:bCs/>
          <w:b/>
        </w:rPr>
        <w:t xml:space="preserve">1.</w:t>
      </w:r>
      <w:r>
        <w:t xml:space="preserve"> </w:t>
      </w:r>
      <w:r>
        <w:t xml:space="preserve">This Invoice is issued in accordance with the academic service agreement (Contract No. QNU-ENG-2025-0231) between the University Lecturer, Dr. Ahmed Al-Mansoori, and Qatar National University, located in Qatar Doha. All services described herein were rendered during the period of January 2025 through May 2025.</w:t>
      </w:r>
    </w:p>
    <w:p>
      <w:pPr>
        <w:pStyle w:val="BodyText"/>
      </w:pPr>
      <w:r>
        <w:rPr>
          <w:bCs/>
          <w:b/>
        </w:rPr>
        <w:t xml:space="preserve">2.</w:t>
      </w:r>
      <w:r>
        <w:t xml:space="preserve"> </w:t>
      </w:r>
      <w:r>
        <w:t xml:space="preserve">Payment of this Invoice is due within thirty (30) calendar days from the date of issue. Payments should be remitted via bank transfer to the account specified below. Late payments shall accrue interest at a rate of 1.5% per month as stipulated under Qatar commercial law.</w:t>
      </w:r>
    </w:p>
    <w:p>
      <w:pPr>
        <w:pStyle w:val="BodyText"/>
      </w:pPr>
      <w:r>
        <w:rPr>
          <w:bCs/>
          <w:b/>
        </w:rPr>
        <w:t xml:space="preserve">3.</w:t>
      </w:r>
      <w:r>
        <w:t xml:space="preserve"> </w:t>
      </w:r>
      <w:r>
        <w:t xml:space="preserve">The University Lecturer confirms that all academic deliverables, including lecture materials, assessment instruments, and thesis supervision records, have been submitted to the Department of Engineering Sciences in Qatar Doha in accordance with institutional quality standards.</w:t>
      </w:r>
    </w:p>
    <w:p>
      <w:pPr>
        <w:pStyle w:val="BodyText"/>
      </w:pPr>
      <w:r>
        <w:rPr>
          <w:bCs/>
          <w:b/>
        </w:rPr>
        <w:t xml:space="preserve">4.</w:t>
      </w:r>
      <w:r>
        <w:t xml:space="preserve"> </w:t>
      </w:r>
      <w:r>
        <w:t xml:space="preserve">This Invoice is subject to the Qatar Value Added Tax (VAT) regulations as administered by the Qatar Tax Authority. The 5% VAT applied is the standard rate applicable to professional and academic services in Qatar Doha as of the 2025 fiscal year.</w:t>
      </w:r>
    </w:p>
    <w:p>
      <w:pPr>
        <w:pStyle w:val="BodyText"/>
      </w:pPr>
      <w:r>
        <w:rPr>
          <w:bCs/>
          <w:b/>
        </w:rPr>
        <w:t xml:space="preserve">5.</w:t>
      </w:r>
      <w:r>
        <w:t xml:space="preserve"> </w:t>
      </w:r>
      <w:r>
        <w:t xml:space="preserve">Any disputes arising from this Invoice or the underlying University Lecturer engagement shall be resolved through the institutional grievance mechanism of Qatar National University, with final arbitration conducted in Doha, Qatar, in accordance with the Qatar Civil and Commercial Code.</w:t>
      </w:r>
    </w:p>
    <w:p>
      <w:pPr>
        <w:pStyle w:val="BodyText"/>
      </w:pPr>
      <w:r>
        <w:rPr>
          <w:bCs/>
          <w:b/>
        </w:rPr>
        <w:t xml:space="preserve">6.</w:t>
      </w:r>
      <w:r>
        <w:t xml:space="preserve"> </w:t>
      </w:r>
      <w:r>
        <w:t xml:space="preserve">The University Lecturer reserves all intellectual property rights over original course materials, research outputs, and pedagogical frameworks developed during this engagement, unless otherwise specified in the master service agreement. The institution in Qatar Doha is granted a perpetual, non-exclusive license to use these materials for internal academic purposes.</w:t>
      </w:r>
    </w:p>
    <w:p>
      <w:pPr>
        <w:pStyle w:val="BodyText"/>
      </w:pPr>
      <w:r>
        <w:rPr>
          <w:bCs/>
          <w:b/>
        </w:rPr>
        <w:t xml:space="preserve">7.</w:t>
      </w:r>
      <w:r>
        <w:t xml:space="preserve"> </w:t>
      </w:r>
      <w:r>
        <w:t xml:space="preserve">Please reference Invoice Number INV-QD-2025-0487 and PO Reference QNU-ENG-2025-0231 on all correspondence and payment remittances to ensure proper accounting reconciliation.</w:t>
      </w:r>
    </w:p>
    <w:bookmarkEnd w:id="24"/>
    <w:bookmarkStart w:id="25" w:name="payment-instructions"/>
    <w:p>
      <w:pPr>
        <w:pStyle w:val="Heading4"/>
      </w:pPr>
      <w:r>
        <w:t xml:space="preserve">Payment Instructions</w:t>
      </w:r>
    </w:p>
    <w:p>
      <w:pPr>
        <w:pStyle w:val="FirstParagraph"/>
      </w:pPr>
      <w:r>
        <w:rPr>
          <w:bCs/>
          <w:b/>
        </w:rPr>
        <w:t xml:space="preserve">Bank:</w:t>
      </w:r>
      <w:r>
        <w:t xml:space="preserve"> </w:t>
      </w:r>
      <w:r>
        <w:t xml:space="preserve">QNB (Qatar National Bank)</w:t>
      </w:r>
    </w:p>
    <w:p>
      <w:pPr>
        <w:pStyle w:val="BodyText"/>
      </w:pPr>
      <w:r>
        <w:rPr>
          <w:bCs/>
          <w:b/>
        </w:rPr>
        <w:t xml:space="preserve">Account Name:</w:t>
      </w:r>
      <w:r>
        <w:t xml:space="preserve"> </w:t>
      </w:r>
      <w:r>
        <w:t xml:space="preserve">Dr. Ahmed Al-Mansoori</w:t>
      </w:r>
    </w:p>
    <w:p>
      <w:pPr>
        <w:pStyle w:val="BodyText"/>
      </w:pPr>
      <w:r>
        <w:rPr>
          <w:bCs/>
          <w:b/>
        </w:rPr>
        <w:t xml:space="preserve">IBAN:</w:t>
      </w:r>
      <w:r>
        <w:t xml:space="preserve"> </w:t>
      </w:r>
      <w:r>
        <w:t xml:space="preserve">QA5800000000000012345678</w:t>
      </w:r>
    </w:p>
    <w:p>
      <w:pPr>
        <w:pStyle w:val="BodyText"/>
      </w:pPr>
      <w:r>
        <w:rPr>
          <w:bCs/>
          <w:b/>
        </w:rPr>
        <w:t xml:space="preserve">SWIFT Code:</w:t>
      </w:r>
      <w:r>
        <w:t xml:space="preserve"> </w:t>
      </w:r>
      <w:r>
        <w:t xml:space="preserve">QNBQAQDO</w:t>
      </w:r>
    </w:p>
    <w:p>
      <w:pPr>
        <w:pStyle w:val="BodyText"/>
      </w:pPr>
      <w:r>
        <w:rPr>
          <w:bCs/>
          <w:b/>
        </w:rPr>
        <w:t xml:space="preserve">Branch:</w:t>
      </w:r>
      <w:r>
        <w:t xml:space="preserve"> </w:t>
      </w:r>
      <w:r>
        <w:t xml:space="preserve">Doha Main Branch, Qatar</w:t>
      </w:r>
    </w:p>
    <w:bookmarkEnd w:id="25"/>
    <w:bookmarkStart w:id="26" w:name="authorized-signatory"/>
    <w:p>
      <w:pPr>
        <w:pStyle w:val="Heading4"/>
      </w:pPr>
      <w:r>
        <w:t xml:space="preserve">Authorized Signatory</w:t>
      </w:r>
    </w:p>
    <w:p>
      <w:pPr>
        <w:pStyle w:val="FirstParagraph"/>
      </w:pPr>
      <w:r>
        <w:t xml:space="preserve">_______________________________</w:t>
      </w:r>
    </w:p>
    <w:p>
      <w:pPr>
        <w:pStyle w:val="BodyText"/>
      </w:pPr>
      <w:r>
        <w:rPr>
          <w:bCs/>
          <w:b/>
        </w:rPr>
        <w:t xml:space="preserve">Dr. Ahmed Al-Mansoori</w:t>
      </w:r>
    </w:p>
    <w:p>
      <w:pPr>
        <w:pStyle w:val="BodyText"/>
      </w:pPr>
      <w:r>
        <w:t xml:space="preserve">Senior University Lecturer</w:t>
      </w:r>
    </w:p>
    <w:p>
      <w:pPr>
        <w:pStyle w:val="BodyText"/>
      </w:pPr>
      <w:r>
        <w:t xml:space="preserve">Department of Engineering Sciences</w:t>
      </w:r>
    </w:p>
    <w:p>
      <w:pPr>
        <w:pStyle w:val="BodyText"/>
      </w:pPr>
      <w:r>
        <w:t xml:space="preserve">Doha, Qatar</w:t>
      </w:r>
    </w:p>
    <w:p>
      <w:pPr>
        <w:pStyle w:val="BodyText"/>
      </w:pPr>
      <w:r>
        <w:t xml:space="preserve">Date: 15 June 2025</w:t>
      </w:r>
    </w:p>
    <w:bookmarkEnd w:id="26"/>
    <w:p>
      <w:pPr>
        <w:pStyle w:val="BodyText"/>
      </w:pPr>
      <w:r>
        <w:t xml:space="preserve">This Invoice was generated for the University Lecturer professional services engagement in Qatar Doha. All amounts are denominated in Qatari Riyal (QAR). This document is valid as a financial record for the 2025 fiscal year. For queries regarding this Invoice, please contact the University Lecturer directly or the Office of Academic Affairs at Qatar National University, Education City, Doha, Qatar.</w:t>
      </w:r>
    </w:p>
    <w:p>
      <w:pPr>
        <w:pStyle w:val="BodyText"/>
      </w:pPr>
      <w:r>
        <w:t xml:space="preserve">© 2025 Dr. Ahmed Al-Mansoori — University Lecturer Services, Qatar Doha.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Qatar Doha</dc:title>
  <dc:creator/>
  <dc:language>en</dc:language>
  <cp:keywords/>
  <dcterms:created xsi:type="dcterms:W3CDTF">2026-10-10T04:06:28Z</dcterms:created>
  <dcterms:modified xsi:type="dcterms:W3CDTF">2026-10-10T04:06:28Z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