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invoice"/>
    <w:p>
      <w:pPr>
        <w:pStyle w:val="Heading1"/>
      </w:pPr>
      <w:r>
        <w:t xml:space="preserve">INVOICE</w:t>
      </w:r>
    </w:p>
    <w:p>
      <w:pPr>
        <w:pStyle w:val="FirstParagraph"/>
      </w:pPr>
      <w:r>
        <w:t xml:space="preserve">Official Invoice for University Lecturer Professional Services</w:t>
      </w:r>
    </w:p>
    <w:p>
      <w:pPr>
        <w:pStyle w:val="BodyText"/>
      </w:pPr>
      <w:r>
        <w:t xml:space="preserve">Issued in Russia Moscow — Russian Federation</w:t>
      </w:r>
    </w:p>
    <w:p>
      <w:pPr>
        <w:pStyle w:val="BodyText"/>
      </w:pPr>
      <w:r>
        <w:t xml:space="preserve">INVOICE NO: INV-RU-MOW-2025-0472</w:t>
      </w:r>
    </w:p>
    <w:bookmarkEnd w:id="20"/>
    <w:bookmarkStart w:id="21" w:name="invoice-issued-by-service-provider"/>
    <w:p>
      <w:pPr>
        <w:pStyle w:val="Heading3"/>
      </w:pPr>
      <w:r>
        <w:t xml:space="preserve">INVOICE ISSUED BY (Service Provider)</w:t>
      </w:r>
    </w:p>
    <w:p>
      <w:pPr>
        <w:pStyle w:val="FirstParagraph"/>
      </w:pPr>
      <w:r>
        <w:rPr>
          <w:bCs/>
          <w:b/>
        </w:rPr>
        <w:t xml:space="preserve">Name:</w:t>
      </w:r>
      <w:r>
        <w:t xml:space="preserve"> </w:t>
      </w:r>
      <w:r>
        <w:t xml:space="preserve">Dr. Alexander V. Petrov</w:t>
      </w:r>
    </w:p>
    <w:p>
      <w:pPr>
        <w:pStyle w:val="BodyText"/>
      </w:pPr>
      <w:r>
        <w:rPr>
          <w:bCs/>
          <w:b/>
        </w:rPr>
        <w:t xml:space="preserve">Title:</w:t>
      </w:r>
      <w:r>
        <w:t xml:space="preserve"> </w:t>
      </w:r>
      <w:r>
        <w:t xml:space="preserve">Senior University Lecturer, Department of Applied Mathematics</w:t>
      </w:r>
    </w:p>
    <w:p>
      <w:pPr>
        <w:pStyle w:val="BodyText"/>
      </w:pPr>
      <w:r>
        <w:rPr>
          <w:bCs/>
          <w:b/>
        </w:rPr>
        <w:t xml:space="preserve">Institution:</w:t>
      </w:r>
      <w:r>
        <w:t xml:space="preserve"> </w:t>
      </w:r>
      <w:r>
        <w:t xml:space="preserve">Lomonosov Moscow State University (MSU)</w:t>
      </w:r>
    </w:p>
    <w:p>
      <w:pPr>
        <w:pStyle w:val="BodyText"/>
      </w:pPr>
      <w:r>
        <w:rPr>
          <w:bCs/>
          <w:b/>
        </w:rPr>
        <w:t xml:space="preserve">Address:</w:t>
      </w:r>
      <w:r>
        <w:t xml:space="preserve"> </w:t>
      </w:r>
      <w:r>
        <w:t xml:space="preserve">1 Leninskie Gory, Moscow, 119991, Russia</w:t>
      </w:r>
    </w:p>
    <w:p>
      <w:pPr>
        <w:pStyle w:val="BodyText"/>
      </w:pPr>
      <w:r>
        <w:rPr>
          <w:bCs/>
          <w:b/>
        </w:rPr>
        <w:t xml:space="preserve">Taxpayer ID (INN):</w:t>
      </w:r>
      <w:r>
        <w:t xml:space="preserve"> </w:t>
      </w:r>
      <w:r>
        <w:t xml:space="preserve">7701234567</w:t>
      </w:r>
    </w:p>
    <w:p>
      <w:pPr>
        <w:pStyle w:val="BodyText"/>
      </w:pPr>
      <w:r>
        <w:rPr>
          <w:bCs/>
          <w:b/>
        </w:rPr>
        <w:t xml:space="preserve">Registration No. (OGRNIP):</w:t>
      </w:r>
      <w:r>
        <w:t xml:space="preserve"> </w:t>
      </w:r>
      <w:r>
        <w:t xml:space="preserve">315774600123456</w:t>
      </w:r>
    </w:p>
    <w:p>
      <w:pPr>
        <w:pStyle w:val="BodyText"/>
      </w:pPr>
      <w:r>
        <w:rPr>
          <w:bCs/>
          <w:b/>
        </w:rPr>
        <w:t xml:space="preserve">Email:</w:t>
      </w:r>
      <w:r>
        <w:t xml:space="preserve"> </w:t>
      </w:r>
      <w:r>
        <w:t xml:space="preserve">a.petrov@msu-lecturer.ru</w:t>
      </w:r>
    </w:p>
    <w:p>
      <w:pPr>
        <w:pStyle w:val="BodyText"/>
      </w:pPr>
      <w:r>
        <w:rPr>
          <w:bCs/>
          <w:b/>
        </w:rPr>
        <w:t xml:space="preserve">Phone:</w:t>
      </w:r>
      <w:r>
        <w:t xml:space="preserve"> </w:t>
      </w:r>
      <w:r>
        <w:t xml:space="preserve">+7 (495) 555-0142</w:t>
      </w:r>
    </w:p>
    <w:bookmarkEnd w:id="21"/>
    <w:bookmarkStart w:id="22" w:name="invoice-billed-to-client-employer"/>
    <w:p>
      <w:pPr>
        <w:pStyle w:val="Heading3"/>
      </w:pPr>
      <w:r>
        <w:t xml:space="preserve">INVOICE BILLED TO (Client / Employer)</w:t>
      </w:r>
    </w:p>
    <w:p>
      <w:pPr>
        <w:pStyle w:val="FirstParagraph"/>
      </w:pPr>
      <w:r>
        <w:rPr>
          <w:bCs/>
          <w:b/>
        </w:rPr>
        <w:t xml:space="preserve">Organization:</w:t>
      </w:r>
      <w:r>
        <w:t xml:space="preserve"> </w:t>
      </w:r>
      <w:r>
        <w:t xml:space="preserve">Moscow Institute of Technology and Business</w:t>
      </w:r>
    </w:p>
    <w:p>
      <w:pPr>
        <w:pStyle w:val="BodyText"/>
      </w:pPr>
      <w:r>
        <w:rPr>
          <w:bCs/>
          <w:b/>
        </w:rPr>
        <w:t xml:space="preserve">Department:</w:t>
      </w:r>
      <w:r>
        <w:t xml:space="preserve"> </w:t>
      </w:r>
      <w:r>
        <w:t xml:space="preserve">Faculty of Engineering Sciences</w:t>
      </w:r>
    </w:p>
    <w:p>
      <w:pPr>
        <w:pStyle w:val="BodyText"/>
      </w:pPr>
      <w:r>
        <w:rPr>
          <w:bCs/>
          <w:b/>
        </w:rPr>
        <w:t xml:space="preserve">Address:</w:t>
      </w:r>
      <w:r>
        <w:t xml:space="preserve"> </w:t>
      </w:r>
      <w:r>
        <w:t xml:space="preserve">42 Prospekt Mira, Moscow, 129344, Russia</w:t>
      </w:r>
    </w:p>
    <w:p>
      <w:pPr>
        <w:pStyle w:val="BodyText"/>
      </w:pPr>
      <w:r>
        <w:rPr>
          <w:bCs/>
          <w:b/>
        </w:rPr>
        <w:t xml:space="preserve">Contact Person:</w:t>
      </w:r>
      <w:r>
        <w:t xml:space="preserve"> </w:t>
      </w:r>
      <w:r>
        <w:t xml:space="preserve">Prof. Elena S. Volkova, Dean</w:t>
      </w:r>
    </w:p>
    <w:p>
      <w:pPr>
        <w:pStyle w:val="BodyText"/>
      </w:pPr>
      <w:r>
        <w:rPr>
          <w:bCs/>
          <w:b/>
        </w:rPr>
        <w:t xml:space="preserve">Taxpayer ID (INN):</w:t>
      </w:r>
      <w:r>
        <w:t xml:space="preserve"> </w:t>
      </w:r>
      <w:r>
        <w:t xml:space="preserve">7719876543</w:t>
      </w:r>
    </w:p>
    <w:p>
      <w:pPr>
        <w:pStyle w:val="BodyText"/>
      </w:pPr>
      <w:r>
        <w:rPr>
          <w:bCs/>
          <w:b/>
        </w:rPr>
        <w:t xml:space="preserve">Bank Account:</w:t>
      </w:r>
      <w:r>
        <w:t xml:space="preserve"> </w:t>
      </w:r>
      <w:r>
        <w:t xml:space="preserve">40702810400000012345</w:t>
      </w:r>
    </w:p>
    <w:p>
      <w:pPr>
        <w:pStyle w:val="BodyText"/>
      </w:pPr>
      <w:r>
        <w:rPr>
          <w:bCs/>
          <w:b/>
        </w:rPr>
        <w:t xml:space="preserve">Bank:</w:t>
      </w:r>
      <w:r>
        <w:t xml:space="preserve"> </w:t>
      </w:r>
      <w:r>
        <w:t xml:space="preserve">Sberbank, Moscow Branch</w:t>
      </w:r>
    </w:p>
    <w:p>
      <w:pPr>
        <w:pStyle w:val="BodyText"/>
      </w:pPr>
      <w:r>
        <w:rPr>
          <w:bCs/>
          <w:b/>
        </w:rPr>
        <w:t xml:space="preserve">SWIFT/BIC:</w:t>
      </w:r>
      <w:r>
        <w:t xml:space="preserve"> </w:t>
      </w:r>
      <w:r>
        <w:t xml:space="preserve">SABRRUMM</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 from invoice date</w:t>
      </w:r>
    </w:p>
    <w:p>
      <w:pPr>
        <w:pStyle w:val="BodyText"/>
      </w:pPr>
      <w:r>
        <w:rPr>
          <w:bCs/>
          <w:b/>
        </w:rPr>
        <w:t xml:space="preserve">Currency:</w:t>
      </w:r>
      <w:r>
        <w:t xml:space="preserve"> </w:t>
      </w:r>
      <w:r>
        <w:t xml:space="preserve">Russian Ruble (RUB / &amp;rub;)</w:t>
      </w:r>
    </w:p>
    <w:p>
      <w:pPr>
        <w:pStyle w:val="BodyText"/>
      </w:pPr>
      <w:r>
        <w:rPr>
          <w:bCs/>
          <w:b/>
        </w:rPr>
        <w:t xml:space="preserve">Service Period:</w:t>
      </w:r>
      <w:r>
        <w:t xml:space="preserve"> </w:t>
      </w:r>
      <w:r>
        <w:t xml:space="preserve">1 September 2024 – 31 May 2025 (Academic Year 2024/2025)</w:t>
      </w:r>
    </w:p>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VTB Bank, Moscow</w:t>
      </w:r>
    </w:p>
    <w:p>
      <w:pPr>
        <w:pStyle w:val="BodyText"/>
      </w:pPr>
      <w:r>
        <w:rPr>
          <w:bCs/>
          <w:b/>
        </w:rPr>
        <w:t xml:space="preserve">Account No.:</w:t>
      </w:r>
      <w:r>
        <w:t xml:space="preserve"> </w:t>
      </w:r>
      <w:r>
        <w:t xml:space="preserve">40703810100000098765</w:t>
      </w:r>
    </w:p>
    <w:p>
      <w:pPr>
        <w:pStyle w:val="BodyText"/>
      </w:pPr>
      <w:r>
        <w:rPr>
          <w:bCs/>
          <w:b/>
        </w:rPr>
        <w:t xml:space="preserve">Corr. Account:</w:t>
      </w:r>
      <w:r>
        <w:t xml:space="preserve"> </w:t>
      </w:r>
      <w:r>
        <w:t xml:space="preserve">30101810400000000225</w:t>
      </w:r>
    </w:p>
    <w:p>
      <w:pPr>
        <w:pStyle w:val="BodyText"/>
      </w:pPr>
      <w:r>
        <w:rPr>
          <w:bCs/>
          <w:b/>
        </w:rPr>
        <w:t xml:space="preserve">BIC:</w:t>
      </w:r>
      <w:r>
        <w:t xml:space="preserve"> </w:t>
      </w:r>
      <w:r>
        <w:t xml:space="preserve">VTBRRUMM</w:t>
      </w:r>
    </w:p>
    <w:p>
      <w:pPr>
        <w:pStyle w:val="BodyText"/>
      </w:pPr>
      <w:r>
        <w:rPr>
          <w:bCs/>
          <w:b/>
        </w:rPr>
        <w:t xml:space="preserve">Reference:</w:t>
      </w:r>
      <w:r>
        <w:t xml:space="preserve"> </w:t>
      </w:r>
      <w:r>
        <w:t xml:space="preserve">INV-RU-MOW-2025-0472</w:t>
      </w:r>
    </w:p>
    <w:p>
      <w:pPr>
        <w:pStyle w:val="BodyText"/>
      </w:pPr>
      <w:r>
        <w:rPr>
          <w:bCs/>
          <w:b/>
        </w:rPr>
        <w:t xml:space="preserve">Payment Method:</w:t>
      </w:r>
      <w:r>
        <w:t xml:space="preserve"> </w:t>
      </w:r>
      <w:r>
        <w:t xml:space="preserve">Bank Transfer (RUB)</w:t>
      </w:r>
    </w:p>
    <w:bookmarkEnd w:id="24"/>
    <w:bookmarkStart w:id="27" w:name="X6f48266a3ecbf2e277d147dd7d65db45ea0b419"/>
    <w:p>
      <w:pPr>
        <w:pStyle w:val="Heading2"/>
      </w:pPr>
      <w:r>
        <w:t xml:space="preserve">Description of University Lecturer Services Rendered</w:t>
      </w:r>
    </w:p>
    <w:p>
      <w:pPr>
        <w:pStyle w:val="FirstParagraph"/>
      </w:pPr>
      <w:r>
        <w:t xml:space="preserve">This Invoice documents the professional services provided by Dr. Alexander V. Petrov in his capacity as a University Lecturer engaged by the Moscow Institute of Technology and Business for the academic year 2024/2025. All services were delivered in person at the Moscow campus located in the city of Moscow, Russia, in full compliance with the Federal Law on Education of the Russian Federation and the internal academic regulations of the employing institution.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University Lecturer — Core Course Delivery: "Advanced Mathematical Methods in Engineering" (Lectures, 3 hours/week × 32 weeks)</w:t>
            </w:r>
          </w:p>
        </w:tc>
        <w:tc>
          <w:tcPr/>
          <w:p>
            <w:pPr>
              <w:pStyle w:val="Compact"/>
              <w:jc w:val="left"/>
            </w:pPr>
            <w:r>
              <w:t xml:space="preserve">96 hours</w:t>
            </w:r>
          </w:p>
        </w:tc>
        <w:tc>
          <w:tcPr/>
          <w:p>
            <w:pPr>
              <w:pStyle w:val="Compact"/>
              <w:jc w:val="left"/>
            </w:pPr>
            <w:r>
              <w:t xml:space="preserve">&amp;rub; 2,500.00</w:t>
            </w:r>
          </w:p>
        </w:tc>
        <w:tc>
          <w:tcPr/>
          <w:p>
            <w:pPr>
              <w:pStyle w:val="Compact"/>
              <w:jc w:val="left"/>
            </w:pPr>
            <w:r>
              <w:t xml:space="preserve">&amp;rub; 240,000.00</w:t>
            </w:r>
          </w:p>
        </w:tc>
      </w:tr>
      <w:tr>
        <w:tc>
          <w:tcPr/>
          <w:p>
            <w:pPr>
              <w:pStyle w:val="Compact"/>
              <w:jc w:val="left"/>
            </w:pPr>
            <w:r>
              <w:t xml:space="preserve">2</w:t>
            </w:r>
          </w:p>
        </w:tc>
        <w:tc>
          <w:tcPr/>
          <w:p>
            <w:pPr>
              <w:pStyle w:val="Compact"/>
              <w:jc w:val="left"/>
            </w:pPr>
            <w:r>
              <w:t xml:space="preserve">University Lecturer — Practical Seminars and Laboratory Supervision (2 hours/week × 32 weeks)</w:t>
            </w:r>
          </w:p>
        </w:tc>
        <w:tc>
          <w:tcPr/>
          <w:p>
            <w:pPr>
              <w:pStyle w:val="Compact"/>
              <w:jc w:val="left"/>
            </w:pPr>
            <w:r>
              <w:t xml:space="preserve">64 hours</w:t>
            </w:r>
          </w:p>
        </w:tc>
        <w:tc>
          <w:tcPr/>
          <w:p>
            <w:pPr>
              <w:pStyle w:val="Compact"/>
              <w:jc w:val="left"/>
            </w:pPr>
            <w:r>
              <w:t xml:space="preserve">&amp;rub; 2,000.00</w:t>
            </w:r>
          </w:p>
        </w:tc>
        <w:tc>
          <w:tcPr/>
          <w:p>
            <w:pPr>
              <w:pStyle w:val="Compact"/>
              <w:jc w:val="left"/>
            </w:pPr>
            <w:r>
              <w:t xml:space="preserve">&amp;rub; 128,000.00</w:t>
            </w:r>
          </w:p>
        </w:tc>
      </w:tr>
      <w:tr>
        <w:tc>
          <w:tcPr/>
          <w:p>
            <w:pPr>
              <w:pStyle w:val="Compact"/>
              <w:jc w:val="left"/>
            </w:pPr>
            <w:r>
              <w:t xml:space="preserve">3</w:t>
            </w:r>
          </w:p>
        </w:tc>
        <w:tc>
          <w:tcPr/>
          <w:p>
            <w:pPr>
              <w:pStyle w:val="Compact"/>
              <w:jc w:val="left"/>
            </w:pPr>
            <w:r>
              <w:t xml:space="preserve">University Lecturer — Examination and Assessment Period (Mid-term and Final Examinations, 2024/2025)</w:t>
            </w:r>
          </w:p>
        </w:tc>
        <w:tc>
          <w:tcPr/>
          <w:p>
            <w:pPr>
              <w:pStyle w:val="Compact"/>
              <w:jc w:val="left"/>
            </w:pPr>
            <w:r>
              <w:t xml:space="preserve">24 hours</w:t>
            </w:r>
          </w:p>
        </w:tc>
        <w:tc>
          <w:tcPr/>
          <w:p>
            <w:pPr>
              <w:pStyle w:val="Compact"/>
              <w:jc w:val="left"/>
            </w:pPr>
            <w:r>
              <w:t xml:space="preserve">&amp;rub; 3,000.00</w:t>
            </w:r>
          </w:p>
        </w:tc>
        <w:tc>
          <w:tcPr/>
          <w:p>
            <w:pPr>
              <w:pStyle w:val="Compact"/>
              <w:jc w:val="left"/>
            </w:pPr>
            <w:r>
              <w:t xml:space="preserve">&amp;rub; 72,000.00</w:t>
            </w:r>
          </w:p>
        </w:tc>
      </w:tr>
      <w:tr>
        <w:tc>
          <w:tcPr/>
          <w:p>
            <w:pPr>
              <w:pStyle w:val="Compact"/>
              <w:jc w:val="left"/>
            </w:pPr>
            <w:r>
              <w:t xml:space="preserve">4</w:t>
            </w:r>
          </w:p>
        </w:tc>
        <w:tc>
          <w:tcPr/>
          <w:p>
            <w:pPr>
              <w:pStyle w:val="Compact"/>
              <w:jc w:val="left"/>
            </w:pPr>
            <w:r>
              <w:t xml:space="preserve">University Lecturer — Curriculum Development and Syllabus Revision for the 2025/2026 Academic Year</w:t>
            </w:r>
          </w:p>
        </w:tc>
        <w:tc>
          <w:tcPr/>
          <w:p>
            <w:pPr>
              <w:pStyle w:val="Compact"/>
              <w:jc w:val="left"/>
            </w:pPr>
            <w:r>
              <w:t xml:space="preserve">16 hours</w:t>
            </w:r>
          </w:p>
        </w:tc>
        <w:tc>
          <w:tcPr/>
          <w:p>
            <w:pPr>
              <w:pStyle w:val="Compact"/>
              <w:jc w:val="left"/>
            </w:pPr>
            <w:r>
              <w:t xml:space="preserve">&amp;rub; 2,800.00</w:t>
            </w:r>
          </w:p>
        </w:tc>
        <w:tc>
          <w:tcPr/>
          <w:p>
            <w:pPr>
              <w:pStyle w:val="Compact"/>
              <w:jc w:val="left"/>
            </w:pPr>
            <w:r>
              <w:t xml:space="preserve">&amp;rub; 44,800.00</w:t>
            </w:r>
          </w:p>
        </w:tc>
      </w:tr>
      <w:tr>
        <w:tc>
          <w:tcPr/>
          <w:p>
            <w:pPr>
              <w:pStyle w:val="Compact"/>
              <w:jc w:val="left"/>
            </w:pPr>
            <w:r>
              <w:t xml:space="preserve">5</w:t>
            </w:r>
          </w:p>
        </w:tc>
        <w:tc>
          <w:tcPr/>
          <w:p>
            <w:pPr>
              <w:pStyle w:val="Compact"/>
              <w:jc w:val="left"/>
            </w:pPr>
            <w:r>
              <w:t xml:space="preserve">University Lecturer — Student Consultation Hours and Academic Advising (1 hour/week × 32 weeks)</w:t>
            </w:r>
          </w:p>
        </w:tc>
        <w:tc>
          <w:tcPr/>
          <w:p>
            <w:pPr>
              <w:pStyle w:val="Compact"/>
              <w:jc w:val="left"/>
            </w:pPr>
            <w:r>
              <w:t xml:space="preserve">32 hours</w:t>
            </w:r>
          </w:p>
        </w:tc>
        <w:tc>
          <w:tcPr/>
          <w:p>
            <w:pPr>
              <w:pStyle w:val="Compact"/>
              <w:jc w:val="left"/>
            </w:pPr>
            <w:r>
              <w:t xml:space="preserve">&amp;rub; 1,800.00</w:t>
            </w:r>
          </w:p>
        </w:tc>
        <w:tc>
          <w:tcPr/>
          <w:p>
            <w:pPr>
              <w:pStyle w:val="Compact"/>
              <w:jc w:val="left"/>
            </w:pPr>
            <w:r>
              <w:t xml:space="preserve">&amp;rub; 57,600.00</w:t>
            </w:r>
          </w:p>
        </w:tc>
      </w:tr>
      <w:tr>
        <w:tc>
          <w:tcPr/>
          <w:p>
            <w:pPr>
              <w:pStyle w:val="Compact"/>
              <w:jc w:val="left"/>
            </w:pPr>
            <w:r>
              <w:t xml:space="preserve">6</w:t>
            </w:r>
          </w:p>
        </w:tc>
        <w:tc>
          <w:tcPr/>
          <w:p>
            <w:pPr>
              <w:pStyle w:val="Compact"/>
              <w:jc w:val="left"/>
            </w:pPr>
            <w:r>
              <w:t xml:space="preserve">University Lecturer — Participation in Moscow Academic Conference on Engineering Education (2-day event, Moscow, Russia)</w:t>
            </w:r>
          </w:p>
        </w:tc>
        <w:tc>
          <w:tcPr/>
          <w:p>
            <w:pPr>
              <w:pStyle w:val="Compact"/>
              <w:jc w:val="left"/>
            </w:pPr>
            <w:r>
              <w:t xml:space="preserve">2 days</w:t>
            </w:r>
          </w:p>
        </w:tc>
        <w:tc>
          <w:tcPr/>
          <w:p>
            <w:pPr>
              <w:pStyle w:val="Compact"/>
              <w:jc w:val="left"/>
            </w:pPr>
            <w:r>
              <w:t xml:space="preserve">&amp;rub; 15,000.00</w:t>
            </w:r>
          </w:p>
        </w:tc>
        <w:tc>
          <w:tcPr/>
          <w:p>
            <w:pPr>
              <w:pStyle w:val="Compact"/>
              <w:jc w:val="left"/>
            </w:pPr>
            <w:r>
              <w:t xml:space="preserve">&amp;rub; 30,000.00</w:t>
            </w:r>
          </w:p>
        </w:tc>
      </w:tr>
      <w:tr>
        <w:tc>
          <w:tcPr/>
          <w:p>
            <w:pPr>
              <w:pStyle w:val="Compact"/>
              <w:jc w:val="left"/>
            </w:pPr>
            <w:r>
              <w:t xml:space="preserve">7</w:t>
            </w:r>
          </w:p>
        </w:tc>
        <w:tc>
          <w:tcPr/>
          <w:p>
            <w:pPr>
              <w:pStyle w:val="Compact"/>
              <w:jc w:val="left"/>
            </w:pPr>
            <w:r>
              <w:t xml:space="preserve">University Lecturer — Preparation of Examination Papers, Problem Sets, and Digital Learning Materials</w:t>
            </w:r>
          </w:p>
        </w:tc>
        <w:tc>
          <w:tcPr/>
          <w:p>
            <w:pPr>
              <w:pStyle w:val="Compact"/>
              <w:jc w:val="left"/>
            </w:pPr>
            <w:r>
              <w:t xml:space="preserve">20 hours</w:t>
            </w:r>
          </w:p>
        </w:tc>
        <w:tc>
          <w:tcPr/>
          <w:p>
            <w:pPr>
              <w:pStyle w:val="Compact"/>
              <w:jc w:val="left"/>
            </w:pPr>
            <w:r>
              <w:t xml:space="preserve">&amp;rub; 2,200.00</w:t>
            </w:r>
          </w:p>
        </w:tc>
        <w:tc>
          <w:tcPr/>
          <w:p>
            <w:pPr>
              <w:pStyle w:val="Compact"/>
              <w:jc w:val="left"/>
            </w:pPr>
            <w:r>
              <w:t xml:space="preserve">&amp;rub; 44,000.00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&amp;rub; 616,400.00</w:t>
            </w:r>
          </w:p>
        </w:tc>
      </w:tr>
      <w:tr>
        <w:tc>
          <w:tcPr/>
          <w:p>
            <w:pPr>
              <w:pStyle w:val="Compact"/>
              <w:jc w:val="left"/>
            </w:pPr>
            <w:r>
              <w:t xml:space="preserve">VAT (20% — Russian Federation Standard Rate)</w:t>
            </w:r>
          </w:p>
        </w:tc>
        <w:tc>
          <w:tcPr/>
          <w:p>
            <w:pPr>
              <w:pStyle w:val="Compact"/>
              <w:jc w:val="left"/>
            </w:pPr>
            <w:r>
              <w:t xml:space="preserve">&amp;rub; 123,280.00</w:t>
            </w:r>
          </w:p>
        </w:tc>
      </w:tr>
      <w:tr>
        <w:tc>
          <w:tcPr/>
          <w:p>
            <w:pPr>
              <w:pStyle w:val="Compact"/>
              <w:jc w:val="left"/>
            </w:pPr>
            <w:r>
              <w:t xml:space="preserve">Personal Income Tax Withholding (13%)</w:t>
            </w:r>
          </w:p>
        </w:tc>
        <w:tc>
          <w:tcPr/>
          <w:p>
            <w:pPr>
              <w:pStyle w:val="Compact"/>
              <w:jc w:val="left"/>
            </w:pPr>
            <w:r>
              <w:t xml:space="preserve">−&amp;rub; 80,132.00</w:t>
            </w:r>
          </w:p>
        </w:tc>
      </w:tr>
      <w:tr>
        <w:tc>
          <w:tcPr/>
          <w:p>
            <w:pPr>
              <w:pStyle w:val="Compact"/>
              <w:jc w:val="left"/>
            </w:pPr>
            <w:r>
              <w:t xml:space="preserve">GRAND TOTAL DUE</w:t>
            </w:r>
          </w:p>
        </w:tc>
        <w:tc>
          <w:tcPr/>
          <w:p>
            <w:pPr>
              <w:pStyle w:val="Compact"/>
              <w:jc w:val="left"/>
            </w:pPr>
            <w:r>
              <w:t xml:space="preserve">&amp;rub; 659,548.00</w:t>
            </w:r>
          </w:p>
        </w:tc>
      </w:tr>
    </w:tbl>
    <w:bookmarkStart w:id="25"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Federal Tax Code of the Russian Federation and the Civil Code of the Russian Federation, Chapter 39 (Paid Services).</w:t>
      </w:r>
    </w:p>
    <w:p>
      <w:pPr>
        <w:numPr>
          <w:ilvl w:val="0"/>
          <w:numId w:val="1001"/>
        </w:numPr>
        <w:pStyle w:val="Compact"/>
      </w:pPr>
      <w:r>
        <w:t xml:space="preserve">All services described herein were rendered by the University Lecturer in the city of Moscow, Russia, and are subject to the academic calendar and regulations of the Moscow Institute of Technology and Business.</w:t>
      </w:r>
    </w:p>
    <w:p>
      <w:pPr>
        <w:numPr>
          <w:ilvl w:val="0"/>
          <w:numId w:val="1001"/>
        </w:numPr>
        <w:pStyle w:val="Compact"/>
      </w:pPr>
      <w:r>
        <w:t xml:space="preserve">Payment is due within fifteen (15) calendar days from the date of this Invoice. Late payments shall accrue interest at the rate of 0.1% per day as stipulated by Article 317.1 of the Civil Code of the Russian Federation.</w:t>
      </w:r>
    </w:p>
    <w:p>
      <w:pPr>
        <w:numPr>
          <w:ilvl w:val="0"/>
          <w:numId w:val="1001"/>
        </w:numPr>
        <w:pStyle w:val="Compact"/>
      </w:pPr>
      <w:r>
        <w:t xml:space="preserve">The University Lecturer confirms that all professional services were performed in full compliance with the employment and academic standards applicable in Russia Moscow, including adherence to the Federal Law No. 273-FZ "On Education in the Russian Federation."</w:t>
      </w:r>
    </w:p>
    <w:p>
      <w:pPr>
        <w:numPr>
          <w:ilvl w:val="0"/>
          <w:numId w:val="1001"/>
        </w:numPr>
        <w:pStyle w:val="Compact"/>
      </w:pPr>
      <w:r>
        <w:t xml:space="preserve">This Invoice is valid for a period of ninety (90) days from the date of issue. After this period, the Invoice must be reissued with an updated date.</w:t>
      </w:r>
    </w:p>
    <w:p>
      <w:pPr>
        <w:numPr>
          <w:ilvl w:val="0"/>
          <w:numId w:val="1001"/>
        </w:numPr>
        <w:pStyle w:val="Compact"/>
      </w:pPr>
      <w:r>
        <w:t xml:space="preserve">All amounts are stated in Russian Rubles (RUB). In the event of any discrepancy, the Russian Ruble amount shall prevail.</w:t>
      </w:r>
    </w:p>
    <w:p>
      <w:pPr>
        <w:numPr>
          <w:ilvl w:val="0"/>
          <w:numId w:val="1001"/>
        </w:numPr>
        <w:pStyle w:val="Compact"/>
      </w:pPr>
      <w:r>
        <w:t xml:space="preserve">The University Lecturer retains all intellectual property rights to course materials, lecture notes, and examination papers developed during the engagement, unless otherwise agreed in writing.</w:t>
      </w:r>
    </w:p>
    <w:p>
      <w:pPr>
        <w:numPr>
          <w:ilvl w:val="0"/>
          <w:numId w:val="1001"/>
        </w:numPr>
        <w:pStyle w:val="Compact"/>
      </w:pPr>
      <w:r>
        <w:t xml:space="preserve">Disputes arising from this Invoice shall be resolved in accordance with the jurisdiction of the Arbitration Court of the City of Moscow, Russian Federation.</w:t>
      </w:r>
    </w:p>
    <w:bookmarkEnd w:id="25"/>
    <w:bookmarkStart w:id="26" w:name="notes-and-certifications"/>
    <w:p>
      <w:pPr>
        <w:pStyle w:val="Heading3"/>
      </w:pPr>
      <w:r>
        <w:t xml:space="preserve">Notes and Certifications</w:t>
      </w:r>
    </w:p>
    <w:p>
      <w:pPr>
        <w:pStyle w:val="FirstParagraph"/>
      </w:pPr>
      <w:r>
        <w:t xml:space="preserve">I, Dr. Alexander V. Petrov, hereby certify that the services listed in this Invoice were personally performed by me in my capacity as a University Lecturer at the Moscow Institute of Technology and Business during the 2024/2025 academic year. All hours recorded are accurate and reflect actual time spent on teaching, assessment, and related academic duties in Moscow, Russia.</w:t>
      </w:r>
    </w:p>
    <w:p>
      <w:pPr>
        <w:pStyle w:val="BodyText"/>
      </w:pPr>
      <w:r>
        <w:rPr>
          <w:bCs/>
          <w:b/>
        </w:rPr>
        <w:t xml:space="preserve">Signature of University Lecturer:</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rPr>
          <w:bCs/>
          <w:b/>
        </w:rPr>
        <w:t xml:space="preserve">Authorized Representative of Client:</w:t>
      </w:r>
      <w:r>
        <w:t xml:space="preserve"> </w:t>
      </w:r>
      <w:r>
        <w:t xml:space="preserve">___________________________   </w:t>
      </w:r>
      <w:r>
        <w:t xml:space="preserve"> </w:t>
      </w:r>
      <w:r>
        <w:rPr>
          <w:bCs/>
          <w:b/>
        </w:rPr>
        <w:t xml:space="preserve">Date:</w:t>
      </w:r>
      <w:r>
        <w:t xml:space="preserve"> </w:t>
      </w:r>
      <w:r>
        <w:t xml:space="preserve">_______________</w:t>
      </w:r>
    </w:p>
    <w:bookmarkEnd w:id="26"/>
    <w:p>
      <w:pPr>
        <w:pStyle w:val="BodyText"/>
      </w:pPr>
      <w:r>
        <w:rPr>
          <w:bCs/>
          <w:b/>
        </w:rPr>
        <w:t xml:space="preserve">Invoice</w:t>
      </w:r>
      <w:r>
        <w:t xml:space="preserve"> </w:t>
      </w:r>
      <w:r>
        <w:t xml:space="preserve">INV-RU-MOW-2025-0472 — University Lecturer Services — Russia Moscow</w:t>
      </w:r>
    </w:p>
    <w:p>
      <w:pPr>
        <w:pStyle w:val="BodyText"/>
      </w:pPr>
      <w:r>
        <w:t xml:space="preserve">This document is a legally binding Invoice issued under the tax regulations of the Russian Federation.</w:t>
      </w:r>
    </w:p>
    <w:p>
      <w:pPr>
        <w:pStyle w:val="BodyText"/>
      </w:pPr>
      <w:r>
        <w:t xml:space="preserve">For queries regarding this Invoice, please contact the University Lecturer directly or the Finance Department of the Moscow Institute of Technology and Business.</w:t>
      </w:r>
    </w:p>
    <w:p>
      <w:pPr>
        <w:pStyle w:val="BodyText"/>
      </w:pPr>
      <w:r>
        <w:t xml:space="preserve">© 2025 Moscow Institute of Technology and Business. All rights reserved. Document generated in Moscow, Russia.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Russia Moscow</dc:title>
  <dc:creator/>
  <dc:language>en</dc:language>
  <cp:keywords/>
  <dcterms:created xsi:type="dcterms:W3CDTF">2026-10-10T03:15:57Z</dcterms:created>
  <dcterms:modified xsi:type="dcterms:W3CDTF">2026-10-10T03:15:57Z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