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Professional UX UI Design Services — Belgium Brussels</w:t>
      </w:r>
    </w:p>
    <w:p>
      <w:pPr>
        <w:pStyle w:val="BodyText"/>
      </w:pPr>
      <w:r>
        <w:t xml:space="preserve">INVOICE No. BB-UX-2025-0047</w:t>
      </w:r>
    </w:p>
    <w:p>
      <w:pPr>
        <w:pStyle w:val="BodyText"/>
      </w:pPr>
      <w:r>
        <w:rPr>
          <w:bCs/>
          <w:b/>
        </w:rPr>
        <w:t xml:space="preserve">Brussels Design Studio</w:t>
      </w:r>
      <w:r>
        <w:br/>
      </w:r>
      <w:r>
        <w:t xml:space="preserve">UX UI Designer — Independent Professional</w:t>
      </w:r>
      <w:r>
        <w:br/>
      </w:r>
      <w:r>
        <w:t xml:space="preserve">Avenue Louise 245, 1050 Brussels</w:t>
      </w:r>
      <w:r>
        <w:br/>
      </w:r>
      <w:r>
        <w:t xml:space="preserve">Belgium</w:t>
      </w:r>
      <w:r>
        <w:br/>
      </w:r>
      <w:r>
        <w:t xml:space="preserve">VAT No.: BE 0765.432.109</w:t>
      </w:r>
      <w:r>
        <w:br/>
      </w:r>
      <w:r>
        <w:t xml:space="preserve">IBAN: BE68 5390 0754 7034</w:t>
      </w:r>
      <w:r>
        <w:br/>
      </w:r>
      <w:r>
        <w:t xml:space="preserve">Email: studio@brusselsdesign.be</w:t>
      </w:r>
      <w:r>
        <w:br/>
      </w:r>
      <w:r>
        <w:t xml:space="preserve">Phone: +32 2 555 0147</w:t>
      </w:r>
    </w:p>
    <w:bookmarkStart w:id="20" w:name="invoice-details"/>
    <w:p>
      <w:pPr>
        <w:pStyle w:val="Heading3"/>
      </w:pPr>
      <w:r>
        <w:t xml:space="preserve">Invoice Details</w:t>
      </w:r>
    </w:p>
    <w:p>
      <w:pPr>
        <w:pStyle w:val="FirstParagraph"/>
      </w:pPr>
      <w:r>
        <w:t xml:space="preserve">Invoice Number:</w:t>
      </w:r>
      <w:r>
        <w:t xml:space="preserve"> </w:t>
      </w:r>
      <w:r>
        <w:t xml:space="preserve">BB-UX-2025-0047</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 (30 days)</w:t>
      </w:r>
    </w:p>
    <w:p>
      <w:pPr>
        <w:pStyle w:val="BodyText"/>
      </w:pPr>
      <w:r>
        <w:t xml:space="preserve">Currency:</w:t>
      </w:r>
      <w:r>
        <w:t xml:space="preserve"> </w:t>
      </w:r>
      <w:r>
        <w:t xml:space="preserve">EUR (€)</w:t>
      </w:r>
    </w:p>
    <w:bookmarkEnd w:id="20"/>
    <w:bookmarkStart w:id="21" w:name="billed-to-client"/>
    <w:p>
      <w:pPr>
        <w:pStyle w:val="Heading3"/>
      </w:pPr>
      <w:r>
        <w:t xml:space="preserve">Billed To (Client)</w:t>
      </w:r>
    </w:p>
    <w:p>
      <w:pPr>
        <w:pStyle w:val="FirstParagraph"/>
      </w:pPr>
      <w:r>
        <w:t xml:space="preserve">Company:</w:t>
      </w:r>
      <w:r>
        <w:t xml:space="preserve"> </w:t>
      </w:r>
      <w:r>
        <w:t xml:space="preserve">NovaTech Solutions SRL</w:t>
      </w:r>
    </w:p>
    <w:p>
      <w:pPr>
        <w:pStyle w:val="BodyText"/>
      </w:pPr>
      <w:r>
        <w:t xml:space="preserve">Address:</w:t>
      </w:r>
      <w:r>
        <w:t xml:space="preserve"> </w:t>
      </w:r>
      <w:r>
        <w:t xml:space="preserve">Rue de la Loi 180, 1040 Brussels</w:t>
      </w:r>
    </w:p>
    <w:p>
      <w:pPr>
        <w:pStyle w:val="BodyText"/>
      </w:pPr>
      <w:r>
        <w:t xml:space="preserve">Belgium</w:t>
      </w:r>
    </w:p>
    <w:p>
      <w:pPr>
        <w:pStyle w:val="BodyText"/>
      </w:pPr>
      <w:r>
        <w:t xml:space="preserve">VAT No.:</w:t>
      </w:r>
      <w:r>
        <w:t xml:space="preserve"> </w:t>
      </w:r>
      <w:r>
        <w:t xml:space="preserve">BE 0812.567.890</w:t>
      </w:r>
    </w:p>
    <w:p>
      <w:pPr>
        <w:pStyle w:val="BodyText"/>
      </w:pPr>
      <w:r>
        <w:t xml:space="preserve">Contact:</w:t>
      </w:r>
      <w:r>
        <w:t xml:space="preserve"> </w:t>
      </w:r>
      <w:r>
        <w:t xml:space="preserve">Mr. Jean-Pierre Van den Berghe</w:t>
      </w:r>
    </w:p>
    <w:bookmarkEnd w:id="21"/>
    <w:bookmarkStart w:id="22" w:name="service-provider"/>
    <w:p>
      <w:pPr>
        <w:pStyle w:val="Heading3"/>
      </w:pPr>
      <w:r>
        <w:t xml:space="preserve">Service Provider</w:t>
      </w:r>
    </w:p>
    <w:p>
      <w:pPr>
        <w:pStyle w:val="FirstParagraph"/>
      </w:pPr>
      <w:r>
        <w:t xml:space="preserve">Role:</w:t>
      </w:r>
      <w:r>
        <w:t xml:space="preserve"> </w:t>
      </w:r>
      <w:r>
        <w:t xml:space="preserve">UX UI Designer</w:t>
      </w:r>
    </w:p>
    <w:p>
      <w:pPr>
        <w:pStyle w:val="BodyText"/>
      </w:pPr>
      <w:r>
        <w:t xml:space="preserve">Location:</w:t>
      </w:r>
      <w:r>
        <w:t xml:space="preserve"> </w:t>
      </w:r>
      <w:r>
        <w:t xml:space="preserve">Belgium Brussels</w:t>
      </w:r>
    </w:p>
    <w:p>
      <w:pPr>
        <w:pStyle w:val="BodyText"/>
      </w:pPr>
      <w:r>
        <w:t xml:space="preserve">Engagement:</w:t>
      </w:r>
      <w:r>
        <w:t xml:space="preserve"> </w:t>
      </w:r>
      <w:r>
        <w:t xml:space="preserve">Project-Based</w:t>
      </w:r>
    </w:p>
    <w:p>
      <w:pPr>
        <w:pStyle w:val="BodyText"/>
      </w:pPr>
      <w:r>
        <w:t xml:space="preserve">Period:</w:t>
      </w:r>
      <w:r>
        <w:t xml:space="preserve"> </w:t>
      </w:r>
      <w:r>
        <w:t xml:space="preserve">01 Apr – 30 May 2025</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UX UI Design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User Experience (UX) Research &amp; Analysis for enterprise SaaS platform. Conducted stakeholder interviews, user persona development, and competitive UX audit within the Belgium Brussels tech ecosystem.</w:t>
            </w:r>
          </w:p>
        </w:tc>
        <w:tc>
          <w:tcPr/>
          <w:p>
            <w:pPr>
              <w:pStyle w:val="Compact"/>
              <w:jc w:val="left"/>
            </w:pPr>
            <w:r>
              <w:t xml:space="preserve">UX Research Report</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€798.00</w:t>
            </w:r>
          </w:p>
        </w:tc>
      </w:tr>
      <w:tr>
        <w:tc>
          <w:tcPr/>
          <w:p>
            <w:pPr>
              <w:pStyle w:val="Compact"/>
              <w:jc w:val="left"/>
            </w:pPr>
            <w:r>
              <w:t xml:space="preserve">2</w:t>
            </w:r>
          </w:p>
        </w:tc>
        <w:tc>
          <w:tcPr/>
          <w:p>
            <w:pPr>
              <w:pStyle w:val="Compact"/>
              <w:jc w:val="left"/>
            </w:pPr>
            <w:r>
              <w:t xml:space="preserve">Information Architecture &amp; User Flow Design. Mapped end-to-end user journeys, wireframed 35+ screens, and created interactive prototypes for the NovaTech mobile application targeting the Belgium Brussels market.</w:t>
            </w:r>
          </w:p>
        </w:tc>
        <w:tc>
          <w:tcPr/>
          <w:p>
            <w:pPr>
              <w:pStyle w:val="Compact"/>
              <w:jc w:val="left"/>
            </w:pPr>
            <w:r>
              <w:t xml:space="preserve">IA &amp; Wireframes</w:t>
            </w:r>
          </w:p>
        </w:tc>
        <w:tc>
          <w:tcPr/>
          <w:p>
            <w:pPr>
              <w:pStyle w:val="Compact"/>
              <w:jc w:val="left"/>
            </w:pPr>
            <w:r>
              <w:t xml:space="preserve">56</w:t>
            </w:r>
          </w:p>
        </w:tc>
        <w:tc>
          <w:tcPr/>
          <w:p>
            <w:pPr>
              <w:pStyle w:val="Compact"/>
              <w:jc w:val="left"/>
            </w:pPr>
            <w:r>
              <w:t xml:space="preserve">€95.00</w:t>
            </w:r>
          </w:p>
        </w:tc>
        <w:tc>
          <w:tcPr/>
          <w:p>
            <w:pPr>
              <w:pStyle w:val="Compact"/>
              <w:jc w:val="left"/>
            </w:pPr>
            <w:r>
              <w:t xml:space="preserve">€5,320.00</w:t>
            </w:r>
          </w:p>
        </w:tc>
        <w:tc>
          <w:tcPr/>
          <w:p>
            <w:pPr>
              <w:pStyle w:val="Compact"/>
              <w:jc w:val="left"/>
            </w:pPr>
            <w:r>
              <w:t xml:space="preserve">€1,117.20</w:t>
            </w:r>
          </w:p>
        </w:tc>
      </w:tr>
      <w:tr>
        <w:tc>
          <w:tcPr/>
          <w:p>
            <w:pPr>
              <w:pStyle w:val="Compact"/>
              <w:jc w:val="left"/>
            </w:pPr>
            <w:r>
              <w:t xml:space="preserve">3</w:t>
            </w:r>
          </w:p>
        </w:tc>
        <w:tc>
          <w:tcPr/>
          <w:p>
            <w:pPr>
              <w:pStyle w:val="Compact"/>
              <w:jc w:val="left"/>
            </w:pPr>
            <w:r>
              <w:t xml:space="preserve">User Interface (UI) Visual Design &amp; Design System. Developed a comprehensive UI design system including color palette, typography, component library, and responsive layout guidelines aligned with Belgium Brussels corporate branding standards.</w:t>
            </w:r>
          </w:p>
        </w:tc>
        <w:tc>
          <w:tcPr/>
          <w:p>
            <w:pPr>
              <w:pStyle w:val="Compact"/>
              <w:jc w:val="left"/>
            </w:pPr>
            <w:r>
              <w:t xml:space="preserve">UI Design System</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c>
          <w:tcPr/>
          <w:p>
            <w:pPr>
              <w:pStyle w:val="Compact"/>
              <w:jc w:val="left"/>
            </w:pPr>
            <w:r>
              <w:t xml:space="preserve">€1,276.80</w:t>
            </w:r>
          </w:p>
        </w:tc>
      </w:tr>
      <w:tr>
        <w:tc>
          <w:tcPr/>
          <w:p>
            <w:pPr>
              <w:pStyle w:val="Compact"/>
              <w:jc w:val="left"/>
            </w:pPr>
            <w:r>
              <w:t xml:space="preserve">4</w:t>
            </w:r>
          </w:p>
        </w:tc>
        <w:tc>
          <w:tcPr/>
          <w:p>
            <w:pPr>
              <w:pStyle w:val="Compact"/>
              <w:jc w:val="left"/>
            </w:pPr>
            <w:r>
              <w:t xml:space="preserve">Usability Testing &amp; Iterative Refinement. Performed moderated usability sessions with 12 participants in Belgium Brussels, analyzed findings, and executed two rounds of UX UI design refinement based on quantitative and qualitative feedback.</w:t>
            </w:r>
          </w:p>
        </w:tc>
        <w:tc>
          <w:tcPr/>
          <w:p>
            <w:pPr>
              <w:pStyle w:val="Compact"/>
              <w:jc w:val="left"/>
            </w:pPr>
            <w:r>
              <w:t xml:space="preserve">Testing Report</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c>
          <w:tcPr/>
          <w:p>
            <w:pPr>
              <w:pStyle w:val="Compact"/>
              <w:jc w:val="left"/>
            </w:pPr>
            <w:r>
              <w:t xml:space="preserve">€638.40</w:t>
            </w:r>
          </w:p>
        </w:tc>
      </w:tr>
      <w:tr>
        <w:tc>
          <w:tcPr/>
          <w:p>
            <w:pPr>
              <w:pStyle w:val="Compact"/>
              <w:jc w:val="left"/>
            </w:pPr>
            <w:r>
              <w:t xml:space="preserve">5</w:t>
            </w:r>
          </w:p>
        </w:tc>
        <w:tc>
          <w:tcPr/>
          <w:p>
            <w:pPr>
              <w:pStyle w:val="Compact"/>
              <w:jc w:val="left"/>
            </w:pPr>
            <w:r>
              <w:t xml:space="preserve">Developer Handoff &amp; Design QA. Prepared annotated Figma files, design tokens, and conducted two design quality assurance review sessions with the NovaTech development team to ensure pixel-perfect implementation of the UX UI design specifications.</w:t>
            </w:r>
          </w:p>
        </w:tc>
        <w:tc>
          <w:tcPr/>
          <w:p>
            <w:pPr>
              <w:pStyle w:val="Compact"/>
              <w:jc w:val="left"/>
            </w:pPr>
            <w:r>
              <w:t xml:space="preserve">Handoff Package</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c>
          <w:tcPr/>
          <w:p>
            <w:pPr>
              <w:pStyle w:val="Compact"/>
              <w:jc w:val="left"/>
            </w:pPr>
            <w:r>
              <w:t xml:space="preserve">€478.80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€20,520.00</w:t>
            </w:r>
          </w:p>
        </w:tc>
      </w:tr>
      <w:tr>
        <w:tc>
          <w:tcPr/>
          <w:p>
            <w:pPr>
              <w:pStyle w:val="Compact"/>
              <w:jc w:val="left"/>
            </w:pPr>
            <w:r>
              <w:t xml:space="preserve">VAT (21% — Belgium Standard Rate)</w:t>
            </w:r>
          </w:p>
        </w:tc>
        <w:tc>
          <w:tcPr/>
          <w:p>
            <w:pPr>
              <w:pStyle w:val="Compact"/>
              <w:jc w:val="right"/>
            </w:pPr>
            <w:r>
              <w:t xml:space="preserve">€4,309.20</w:t>
            </w:r>
          </w:p>
        </w:tc>
      </w:tr>
      <w:tr>
        <w:tc>
          <w:tcPr/>
          <w:p>
            <w:pPr>
              <w:pStyle w:val="Compact"/>
              <w:jc w:val="left"/>
            </w:pPr>
            <w:r>
              <w:t xml:space="preserve">TOTAL AMOUNT DUE (Incl. VAT)</w:t>
            </w:r>
          </w:p>
        </w:tc>
        <w:tc>
          <w:tcPr/>
          <w:p>
            <w:pPr>
              <w:pStyle w:val="Compact"/>
              <w:jc w:val="right"/>
            </w:pPr>
            <w:r>
              <w:t xml:space="preserve">€24,829.20</w:t>
            </w:r>
          </w:p>
        </w:tc>
      </w:tr>
    </w:tbl>
    <w:bookmarkStart w:id="23" w:name="payment-instructions-invoice-settlement"/>
    <w:p>
      <w:pPr>
        <w:pStyle w:val="Heading3"/>
      </w:pPr>
      <w:r>
        <w:t xml:space="preserve">Payment Instructions — Invoice Settlement</w:t>
      </w:r>
    </w:p>
    <w:p>
      <w:pPr>
        <w:pStyle w:val="FirstParagraph"/>
      </w:pPr>
      <w:r>
        <w:rPr>
          <w:bCs/>
          <w:b/>
        </w:rPr>
        <w:t xml:space="preserve">Method:</w:t>
      </w:r>
      <w:r>
        <w:t xml:space="preserve"> </w:t>
      </w:r>
      <w:r>
        <w:t xml:space="preserve">Bank Transfer (SEPA) to the IBAN listed above.</w:t>
      </w:r>
    </w:p>
    <w:p>
      <w:pPr>
        <w:pStyle w:val="BodyText"/>
      </w:pPr>
      <w:r>
        <w:rPr>
          <w:bCs/>
          <w:b/>
        </w:rPr>
        <w:t xml:space="preserve">Reference:</w:t>
      </w:r>
      <w:r>
        <w:t xml:space="preserve"> </w:t>
      </w:r>
      <w:r>
        <w:t xml:space="preserve">Please include Invoice Number BB-UX-2025-0047 in the payment reference field.</w:t>
      </w:r>
    </w:p>
    <w:p>
      <w:pPr>
        <w:pStyle w:val="BodyText"/>
      </w:pPr>
      <w:r>
        <w:rPr>
          <w:bCs/>
          <w:b/>
        </w:rPr>
        <w:t xml:space="preserve">Due Date:</w:t>
      </w:r>
      <w:r>
        <w:t xml:space="preserve"> </w:t>
      </w:r>
      <w:r>
        <w:t xml:space="preserve">This Invoice is payable within 30 calendar days from the Invoice date of 15 June 2025. The final payment deadline is 15 July 2025.</w:t>
      </w:r>
    </w:p>
    <w:p>
      <w:pPr>
        <w:pStyle w:val="BodyText"/>
      </w:pPr>
      <w:r>
        <w:rPr>
          <w:bCs/>
          <w:b/>
        </w:rPr>
        <w:t xml:space="preserve">Late Payment:</w:t>
      </w:r>
      <w:r>
        <w:t xml:space="preserve"> </w:t>
      </w:r>
      <w:r>
        <w:t xml:space="preserve">In accordance with Belgian commercial law (Code de commerce, Article L. 311-36), a late payment interest of 10% per annum will be applied to any outstanding balance after the due date. Additionally, a fixed indemnity of €40 for recovery costs may be charged as permitted under Belgian regulations.</w:t>
      </w:r>
    </w:p>
    <w:p>
      <w:pPr>
        <w:pStyle w:val="BodyText"/>
      </w:pPr>
      <w:r>
        <w:rPr>
          <w:bCs/>
          <w:b/>
        </w:rPr>
        <w:t xml:space="preserve">Disputes:</w:t>
      </w:r>
      <w:r>
        <w:t xml:space="preserve"> </w:t>
      </w:r>
      <w:r>
        <w:t xml:space="preserve">Any disputes regarding this Invoice or the UX UI design services rendered should be directed to the undersigned UX UI Designer in Belgium Brussels within 14 days of receipt.</w:t>
      </w:r>
    </w:p>
    <w:bookmarkEnd w:id="23"/>
    <w:bookmarkStart w:id="24" w:name="notes-terms-of-service"/>
    <w:p>
      <w:pPr>
        <w:pStyle w:val="Heading3"/>
      </w:pPr>
      <w:r>
        <w:t xml:space="preserve">Notes &amp; Terms of Service</w:t>
      </w:r>
    </w:p>
    <w:p>
      <w:pPr>
        <w:pStyle w:val="FirstParagraph"/>
      </w:pPr>
      <w:r>
        <w:t xml:space="preserve">This Invoice is issued by an independent UX UI Designer operating from Belgium Brussels in compliance with all applicable Belgian tax and commercial regulations. All UX UI design deliverables referenced in this Invoice have been completed and accepted by the client as per the signed Statement of Work dated 28 March 2025.</w:t>
      </w:r>
    </w:p>
    <w:p>
      <w:pPr>
        <w:pStyle w:val="BodyText"/>
      </w:pPr>
      <w:r>
        <w:t xml:space="preserve">All intellectual property rights associated with the final UX UI design deliverables transfer to NovaTech Solutions SRL upon full settlement of this Invoice. Source files (Figma, Sketch) will be delivered via secure cloud link within 5 business days of confirmed payment.</w:t>
      </w:r>
    </w:p>
    <w:p>
      <w:pPr>
        <w:pStyle w:val="BodyText"/>
      </w:pPr>
      <w:r>
        <w:t xml:space="preserve">This Invoice constitutes the final and complete billing for the UX UI design engagement described herein. No additional charges will be incurred unless a formal change order is executed in writing by both parties. The UX UI Designer reserves the right to display anonymized project work in a professional portfolio for marketing purposes, subject to client approval.</w:t>
      </w:r>
    </w:p>
    <w:p>
      <w:pPr>
        <w:pStyle w:val="BodyText"/>
      </w:pPr>
      <w:r>
        <w:t xml:space="preserve">Governing Law: This Invoice and all associated services are governed by the laws of Belgium. Any legal disputes shall be subject to the exclusive jurisdiction of the courts of Brussels, Belgium.</w:t>
      </w:r>
    </w:p>
    <w:bookmarkEnd w:id="24"/>
    <w:p>
      <w:pPr>
        <w:pStyle w:val="BodyText"/>
      </w:pPr>
      <w:r>
        <w:rPr>
          <w:bCs/>
          <w:b/>
        </w:rPr>
        <w:t xml:space="preserve">Brussels Design Studio</w:t>
      </w:r>
      <w:r>
        <w:t xml:space="preserve"> </w:t>
      </w:r>
      <w:r>
        <w:t xml:space="preserve">— UX UI Designer — Belgium Brussels</w:t>
      </w:r>
    </w:p>
    <w:p>
      <w:pPr>
        <w:pStyle w:val="BodyText"/>
      </w:pPr>
      <w:r>
        <w:t xml:space="preserve">Avenue Louise 245, 1050 Brussels, Belgium • VAT BE 0765.432.109 • BE68 5390 0754 7034</w:t>
      </w:r>
    </w:p>
    <w:p>
      <w:pPr>
        <w:pStyle w:val="BodyText"/>
      </w:pPr>
      <w:r>
        <w:t xml:space="preserve">This Invoice was generated electronically and is valid without a physical signature in accordance with Belgian e-invoicing regulations (Peppol / UBL 2.1).</w:t>
      </w:r>
    </w:p>
    <w:p>
      <w:pPr>
        <w:pStyle w:val="BodyText"/>
      </w:pPr>
      <w:r>
        <w:t xml:space="preserve">Thank you for engaging our UX UI design services in Belgium Brussels. We look forward to continuing our professional collaboration.</w:t>
      </w:r>
    </w:p>
    <w:p>
      <w:pPr>
        <w:pStyle w:val="BodyText"/>
      </w:pPr>
      <w:r>
        <w:t xml:space="preserve">© 2025 Brussels Design Studio. All rights reserved. Invoice BB-UX-2025-0047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Belgium Brussels</dc:title>
  <dc:creator/>
  <dc:language>en</dc:language>
  <cp:keywords/>
  <dcterms:created xsi:type="dcterms:W3CDTF">2026-10-10T07:21:10Z</dcterms:created>
  <dcterms:modified xsi:type="dcterms:W3CDTF">2026-10-10T07:21:10Z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