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ixelcraft-studio-gmbh"/>
    <w:p>
      <w:pPr>
        <w:pStyle w:val="Heading1"/>
      </w:pPr>
      <w:r>
        <w:t xml:space="preserve">PixelCraft Studio GmbH</w:t>
      </w:r>
    </w:p>
    <w:p>
      <w:pPr>
        <w:pStyle w:val="FirstParagraph"/>
      </w:pPr>
      <w:r>
        <w:t xml:space="preserve">UX UI Designer &amp; Digital Experience Agency</w:t>
      </w:r>
    </w:p>
    <w:p>
      <w:pPr>
        <w:pStyle w:val="BodyText"/>
      </w:pPr>
      <w:r>
        <w:t xml:space="preserve">Unter den Linden 42, 10117 Berlin, Germany</w:t>
      </w:r>
    </w:p>
    <w:p>
      <w:pPr>
        <w:pStyle w:val="BodyText"/>
      </w:pPr>
      <w:r>
        <w:t xml:space="preserve">Phone: +49 30 1234 5678</w:t>
      </w:r>
    </w:p>
    <w:p>
      <w:pPr>
        <w:pStyle w:val="BodyText"/>
      </w:pPr>
      <w:r>
        <w:t xml:space="preserve">Email: billing@pixelcraft-berlin.de</w:t>
      </w:r>
    </w:p>
    <w:p>
      <w:pPr>
        <w:pStyle w:val="BodyText"/>
      </w:pPr>
      <w:r>
        <w:t xml:space="preserve">USt-IdNr: DE315478921</w:t>
      </w:r>
    </w:p>
    <w:p>
      <w:pPr>
        <w:pStyle w:val="BodyText"/>
      </w:pPr>
      <w:r>
        <w:t xml:space="preserve">HRB 123456 B, Amtsgericht Charlottenburg</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PC-2025-0047</w:t>
      </w:r>
    </w:p>
    <w:p>
      <w:pPr>
        <w:pStyle w:val="BodyText"/>
      </w:pPr>
      <w:r>
        <w:t xml:space="preserve">Issue Date: 15 June 2025</w:t>
      </w:r>
    </w:p>
    <w:p>
      <w:pPr>
        <w:pStyle w:val="BodyText"/>
      </w:pPr>
      <w:r>
        <w:t xml:space="preserve">Due Date: 30 June 2025</w:t>
      </w:r>
    </w:p>
    <w:bookmarkEnd w:id="21"/>
    <w:bookmarkStart w:id="22" w:name="billed-to-kunde"/>
    <w:p>
      <w:pPr>
        <w:pStyle w:val="Heading3"/>
      </w:pPr>
      <w:r>
        <w:t xml:space="preserve">Billed To (Kunde)</w:t>
      </w:r>
    </w:p>
    <w:p>
      <w:pPr>
        <w:pStyle w:val="FirstParagraph"/>
      </w:pPr>
      <w:r>
        <w:rPr>
          <w:bCs/>
          <w:b/>
        </w:rPr>
        <w:t xml:space="preserve">TechnoVision AG</w:t>
      </w:r>
    </w:p>
    <w:p>
      <w:pPr>
        <w:pStyle w:val="BodyText"/>
      </w:pPr>
      <w:r>
        <w:t xml:space="preserve">Attn: Dr. Markus Weber, Head of Digital Products</w:t>
      </w:r>
    </w:p>
    <w:p>
      <w:pPr>
        <w:pStyle w:val="BodyText"/>
      </w:pPr>
      <w:r>
        <w:t xml:space="preserve">Frankfurter Allee 118, 10247 Berlin, Germany</w:t>
      </w:r>
    </w:p>
    <w:p>
      <w:pPr>
        <w:pStyle w:val="BodyText"/>
      </w:pPr>
      <w:r>
        <w:t xml:space="preserve">VAT ID: DE298765432</w:t>
      </w:r>
    </w:p>
    <w:bookmarkEnd w:id="22"/>
    <w:bookmarkStart w:id="23" w:name="project-reference"/>
    <w:p>
      <w:pPr>
        <w:pStyle w:val="Heading3"/>
      </w:pPr>
      <w:r>
        <w:t xml:space="preserve">Project Reference</w:t>
      </w:r>
    </w:p>
    <w:p>
      <w:pPr>
        <w:pStyle w:val="FirstParagraph"/>
      </w:pPr>
      <w:r>
        <w:t xml:space="preserve">Project: Enterprise SaaS Platform Redesign</w:t>
      </w:r>
    </w:p>
    <w:p>
      <w:pPr>
        <w:pStyle w:val="BodyText"/>
      </w:pPr>
      <w:r>
        <w:t xml:space="preserve">Contract No.: TV-UX-2025-003</w:t>
      </w:r>
    </w:p>
    <w:p>
      <w:pPr>
        <w:pStyle w:val="BodyText"/>
      </w:pPr>
      <w:r>
        <w:t xml:space="preserve">Service Period: 01 May 2025 – 31 May 2025</w:t>
      </w:r>
    </w:p>
    <w:p>
      <w:pPr>
        <w:pStyle w:val="BodyText"/>
      </w:pPr>
      <w:r>
        <w:t xml:space="preserve">Location of Work: Berlin, Germany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UX Research &amp; User Journey Mapping</w:t>
            </w:r>
          </w:p>
          <w:p>
            <w:pPr>
              <w:jc w:val="left"/>
            </w:pPr>
            <w:r>
              <w:t xml:space="preserve">Conducted in-depth user interviews, heuristic evaluations, and competitive analysis for the enterprise SaaS platform. Delivered comprehensive user personas and journey maps as part of the UX UI Designer engagement in Germany Berlin.</w:t>
            </w:r>
          </w:p>
        </w:tc>
        <w:tc>
          <w:tcPr/>
          <w:p>
            <w:pPr>
              <w:pStyle w:val="Compact"/>
              <w:jc w:val="left"/>
            </w:pPr>
            <w:r>
              <w:t xml:space="preserve">32 hrs</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2</w:t>
            </w:r>
          </w:p>
        </w:tc>
        <w:tc>
          <w:tcPr/>
          <w:p>
            <w:pPr>
              <w:pStyle w:val="Compact"/>
              <w:jc w:val="left"/>
            </w:pPr>
            <w:r>
              <w:rPr>
                <w:bCs/>
                <w:b/>
              </w:rPr>
              <w:t xml:space="preserve">UI Design System Development</w:t>
            </w:r>
          </w:p>
          <w:p>
            <w:pPr>
              <w:jc w:val="left"/>
            </w:pPr>
            <w:r>
              <w:t xml:space="preserve">Designed and documented a scalable UI component library including 120+ interface elements, typography scales, color tokens, and interaction patterns. This UX UI Designer deliverable ensures brand consistency across all product touchpoints in the Germany Berlin market.</w:t>
            </w:r>
          </w:p>
        </w:tc>
        <w:tc>
          <w:tcPr/>
          <w:p>
            <w:pPr>
              <w:pStyle w:val="Compact"/>
              <w:jc w:val="left"/>
            </w:pPr>
            <w:r>
              <w:t xml:space="preserve">48 hrs</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3</w:t>
            </w:r>
          </w:p>
        </w:tc>
        <w:tc>
          <w:tcPr/>
          <w:p>
            <w:pPr>
              <w:pStyle w:val="Compact"/>
              <w:jc w:val="left"/>
            </w:pPr>
            <w:r>
              <w:rPr>
                <w:bCs/>
                <w:b/>
              </w:rPr>
              <w:t xml:space="preserve">Wireframing &amp; Interactive Prototyping</w:t>
            </w:r>
          </w:p>
          <w:p>
            <w:pPr>
              <w:jc w:val="left"/>
            </w:pPr>
            <w:r>
              <w:t xml:space="preserve">Created low-fidelity wireframes and high-fidelity interactive prototypes in Figma for 45+ key screens. Prototypes were tested with 12 participants in a moderated usability session held at our studio in Germany Berlin.</w:t>
            </w:r>
          </w:p>
        </w:tc>
        <w:tc>
          <w:tcPr/>
          <w:p>
            <w:pPr>
              <w:pStyle w:val="Compact"/>
              <w:jc w:val="left"/>
            </w:pPr>
            <w:r>
              <w:t xml:space="preserve">40 hrs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4</w:t>
            </w:r>
          </w:p>
        </w:tc>
        <w:tc>
          <w:tcPr/>
          <w:p>
            <w:pPr>
              <w:pStyle w:val="Compact"/>
              <w:jc w:val="left"/>
            </w:pPr>
            <w:r>
              <w:rPr>
                <w:bCs/>
                <w:b/>
              </w:rPr>
              <w:t xml:space="preserve">Usability Testing &amp; Iteration</w:t>
            </w:r>
          </w:p>
          <w:p>
            <w:pPr>
              <w:jc w:val="left"/>
            </w:pPr>
            <w:r>
              <w:t xml:space="preserve">Executed two rounds of moderated usability testing, analyzed quantitative and qualitative feedback, and iterated on the UX UI Designer deliverables accordingly. All testing sessions were conducted in compliance with German data protection regulations (DSGVO/GDPR).</w:t>
            </w:r>
          </w:p>
        </w:tc>
        <w:tc>
          <w:tcPr/>
          <w:p>
            <w:pPr>
              <w:pStyle w:val="Compact"/>
              <w:jc w:val="left"/>
            </w:pPr>
            <w:r>
              <w:t xml:space="preserve">24 hrs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5</w:t>
            </w:r>
          </w:p>
        </w:tc>
        <w:tc>
          <w:tcPr/>
          <w:p>
            <w:pPr>
              <w:pStyle w:val="Compact"/>
              <w:jc w:val="left"/>
            </w:pPr>
            <w:r>
              <w:rPr>
                <w:bCs/>
                <w:b/>
              </w:rPr>
              <w:t xml:space="preserve">Developer Handoff &amp; Design QA</w:t>
            </w:r>
          </w:p>
          <w:p>
            <w:pPr>
              <w:jc w:val="left"/>
            </w:pPr>
            <w:r>
              <w:t xml:space="preserve">Prepared annotated design specifications, asset exports, and conducted bi-weekly design QA reviews with the development team. This final phase of the UX UI Designer invoice covers all outstanding design queries and pixel-perfect implementation verification.</w:t>
            </w:r>
          </w:p>
        </w:tc>
        <w:tc>
          <w:tcPr/>
          <w:p>
            <w:pPr>
              <w:pStyle w:val="Compact"/>
              <w:jc w:val="left"/>
            </w:pPr>
            <w:r>
              <w:t xml:space="preserve">16 hrs</w:t>
            </w:r>
          </w:p>
        </w:tc>
        <w:tc>
          <w:tcPr/>
          <w:p>
            <w:pPr>
              <w:pStyle w:val="Compact"/>
              <w:jc w:val="left"/>
            </w:pPr>
            <w:r>
              <w:t xml:space="preserve">€95.00</w:t>
            </w:r>
          </w:p>
        </w:tc>
        <w:tc>
          <w:tcPr/>
          <w:p>
            <w:pPr>
              <w:pStyle w:val="Compact"/>
              <w:jc w:val="left"/>
            </w:pPr>
            <w:r>
              <w:t xml:space="preserve">€1,520.00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€15,200.00</w:t>
            </w:r>
          </w:p>
        </w:tc>
      </w:tr>
      <w:tr>
        <w:tc>
          <w:tcPr/>
          <w:p>
            <w:pPr>
              <w:pStyle w:val="Compact"/>
              <w:jc w:val="left"/>
            </w:pPr>
            <w:r>
              <w:t xml:space="preserve">VAT 19% (Mehrwertsteuer)</w:t>
            </w:r>
          </w:p>
        </w:tc>
        <w:tc>
          <w:tcPr/>
          <w:p>
            <w:pPr>
              <w:pStyle w:val="Compact"/>
              <w:jc w:val="right"/>
            </w:pPr>
            <w:r>
              <w:t xml:space="preserve">€2,888.00</w:t>
            </w:r>
          </w:p>
        </w:tc>
      </w:tr>
      <w:tr>
        <w:tc>
          <w:tcPr/>
          <w:p>
            <w:pPr>
              <w:pStyle w:val="Compact"/>
              <w:jc w:val="left"/>
            </w:pPr>
            <w:r>
              <w:t xml:space="preserve">Total Due (Brutto)</w:t>
            </w:r>
          </w:p>
        </w:tc>
        <w:tc>
          <w:tcPr/>
          <w:p>
            <w:pPr>
              <w:pStyle w:val="Compact"/>
              <w:jc w:val="right"/>
            </w:pPr>
            <w:r>
              <w:t xml:space="preserve">€18,088.00</w:t>
            </w:r>
          </w:p>
        </w:tc>
      </w:tr>
    </w:tbl>
    <w:bookmarkStart w:id="24" w:name="payment-details-terms"/>
    <w:p>
      <w:pPr>
        <w:pStyle w:val="Heading3"/>
      </w:pPr>
      <w:r>
        <w:t xml:space="preserve">Payment Details &amp; Terms</w:t>
      </w:r>
    </w:p>
    <w:p>
      <w:pPr>
        <w:pStyle w:val="FirstParagraph"/>
      </w:pPr>
      <w:r>
        <w:rPr>
          <w:bCs/>
          <w:b/>
        </w:rPr>
        <w:t xml:space="preserve">Payment Method:</w:t>
      </w:r>
      <w:r>
        <w:t xml:space="preserve"> </w:t>
      </w:r>
      <w:r>
        <w:t xml:space="preserve">Bank Transfer (SEPA-Überweisung)</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Bank:</w:t>
      </w:r>
      <w:r>
        <w:t xml:space="preserve"> </w:t>
      </w:r>
      <w:r>
        <w:t xml:space="preserve">Commerzbank AG, Berlin Branch</w:t>
      </w:r>
    </w:p>
    <w:p>
      <w:pPr>
        <w:pStyle w:val="BodyText"/>
      </w:pPr>
      <w:r>
        <w:rPr>
          <w:bCs/>
          <w:b/>
        </w:rPr>
        <w:t xml:space="preserve">Reference:</w:t>
      </w:r>
      <w:r>
        <w:t xml:space="preserve"> </w:t>
      </w:r>
      <w:r>
        <w:t xml:space="preserve">PC-2025-0047 / TechnoVision AG</w:t>
      </w:r>
    </w:p>
    <w:p>
      <w:pPr>
        <w:pStyle w:val="BodyText"/>
      </w:pPr>
      <w:r>
        <w:rPr>
          <w:bCs/>
          <w:b/>
        </w:rPr>
        <w:t xml:space="preserve">Payment Terms:</w:t>
      </w:r>
      <w:r>
        <w:t xml:space="preserve"> </w:t>
      </w:r>
      <w:r>
        <w:t xml:space="preserve">Net 14 days from the date of this Invoice. Please ensure the full amount of €18,088.00 is transferred by 30 June 2025.</w:t>
      </w:r>
    </w:p>
    <w:p>
      <w:pPr>
        <w:pStyle w:val="BodyText"/>
      </w:pPr>
      <w:r>
        <w:rPr>
          <w:bCs/>
          <w:b/>
        </w:rPr>
        <w:t xml:space="preserve">Overdue Interest:</w:t>
      </w:r>
      <w:r>
        <w:t xml:space="preserve"> </w:t>
      </w:r>
      <w:r>
        <w:t xml:space="preserve">In accordance with § 288 BGB, a default interest of 5 percentage points above the base rate applies to overdue payments on this Invoice.</w:t>
      </w:r>
    </w:p>
    <w:bookmarkEnd w:id="24"/>
    <w:p>
      <w:pPr>
        <w:pStyle w:val="BodyText"/>
      </w:pPr>
      <w:r>
        <w:rPr>
          <w:bCs/>
          <w:b/>
        </w:rPr>
        <w:t xml:space="preserve">Legal Notice:</w:t>
      </w:r>
      <w:r>
        <w:t xml:space="preserve"> </w:t>
      </w:r>
      <w:r>
        <w:t xml:space="preserve">This Invoice is issued in accordance with § 14 of the German Umsatzsteuergesetz (UStG) and § 4 No. 8a UStG. PixelCraft Studio GmbH, a registered UX UI Designer and digital experience agency headquartered in Germany Berlin, confirms that all services rendered under this Invoice were performed within the territory of the Federal Republic of Germany.</w:t>
      </w:r>
    </w:p>
    <w:p>
      <w:pPr>
        <w:pStyle w:val="BodyText"/>
      </w:pPr>
      <w:r>
        <w:rPr>
          <w:bCs/>
          <w:b/>
        </w:rPr>
        <w:t xml:space="preserve">Confidentiality:</w:t>
      </w:r>
      <w:r>
        <w:t xml:space="preserve"> </w:t>
      </w:r>
      <w:r>
        <w:t xml:space="preserve">All project deliverables, design assets, and user research data associated with this UX UI Designer engagement remain the exclusive intellectual property of TechnoVision AG as stipulated in the master service agreement dated 15 April 2025. PixelCraft Studio GmbH shall not reproduce, distribute, or display any work product without prior written consent.</w:t>
      </w:r>
    </w:p>
    <w:p>
      <w:pPr>
        <w:pStyle w:val="BodyText"/>
      </w:pPr>
      <w:r>
        <w:rPr>
          <w:bCs/>
          <w:b/>
        </w:rPr>
        <w:t xml:space="preserve">Data Protection:</w:t>
      </w:r>
      <w:r>
        <w:t xml:space="preserve"> </w:t>
      </w:r>
      <w:r>
        <w:t xml:space="preserve">In compliance with the General Data Protection Regulation (GDPR/DSGVO) and the German Federal Data Protection Act (BDSG), all personal data collected during user research sessions conducted in Germany Berlin has been processed, stored, and will be securely deleted within 90 days of project completion, unless otherwise agreed in writing.</w:t>
      </w:r>
    </w:p>
    <w:p>
      <w:pPr>
        <w:pStyle w:val="BodyText"/>
      </w:pPr>
      <w:r>
        <w:rPr>
          <w:bCs/>
          <w:b/>
        </w:rPr>
        <w:t xml:space="preserve">Dispute Resolution:</w:t>
      </w:r>
      <w:r>
        <w:t xml:space="preserve"> </w:t>
      </w:r>
      <w:r>
        <w:t xml:space="preserve">Any disputes arising from this Invoice or the underlying services shall be governed by the laws of the Federal Republic of Germany. The exclusive court of jurisdiction is the Local Court (Amtsgericht) of Berlin-Charlottenburg, Germany Berlin.</w:t>
      </w:r>
    </w:p>
    <w:p>
      <w:pPr>
        <w:pStyle w:val="BodyText"/>
      </w:pPr>
      <w:r>
        <w:rPr>
          <w:bCs/>
          <w:b/>
        </w:rPr>
        <w:t xml:space="preserve">Retention:</w:t>
      </w:r>
      <w:r>
        <w:t xml:space="preserve"> </w:t>
      </w:r>
      <w:r>
        <w:t xml:space="preserve">In accordance with § 147 AO (Abgabenordnung), this Invoice and all related tax documents must be retained for a minimum of 10 years. Please retain a copy of this Invoice for your own accounting and tax filing purposes.</w:t>
      </w:r>
    </w:p>
    <w:p>
      <w:pPr>
        <w:pStyle w:val="BodyText"/>
      </w:pPr>
      <w:r>
        <w:t xml:space="preserve">Thank you for your business. We appreciate the opportunity to serve as your UX UI Designer partner in Germany Berlin.</w:t>
      </w:r>
    </w:p>
    <w:p>
      <w:pPr>
        <w:pStyle w:val="BodyText"/>
      </w:pPr>
      <w:r>
        <w:t xml:space="preserve">PixelCraft Studio GmbH · Unter den Linden 42, 10117 Berlin, Germany · USt-IdNr: DE315478921</w:t>
      </w:r>
    </w:p>
    <w:p>
      <w:pPr>
        <w:pStyle w:val="BodyText"/>
      </w:pPr>
      <w:r>
        <w:t xml:space="preserve">This Invoice was generated electronically and is valid without a physical signature pursuant to § 14 Abs. 4 UStG.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Germany Berlin</dc:title>
  <dc:creator/>
  <dc:language>en</dc:language>
  <cp:keywords/>
  <dcterms:created xsi:type="dcterms:W3CDTF">2026-10-10T06:39:20Z</dcterms:created>
  <dcterms:modified xsi:type="dcterms:W3CDTF">2026-10-10T06:39:20Z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