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Iran</w:t>
      </w:r>
      <w:r>
        <w:t xml:space="preserve"> </w:t>
      </w:r>
      <w:r>
        <w:t xml:space="preserve">Tehran</w:t>
      </w:r>
    </w:p>
    <w:bookmarkStart w:id="20" w:name="invoice"/>
    <w:p>
      <w:pPr>
        <w:pStyle w:val="Heading1"/>
      </w:pPr>
      <w:r>
        <w:t xml:space="preserve">INVOICE</w:t>
      </w:r>
    </w:p>
    <w:p>
      <w:pPr>
        <w:pStyle w:val="FirstParagraph"/>
      </w:pPr>
      <w:r>
        <w:t xml:space="preserve">Professional UX UI Designer Services — Iran Tehran</w:t>
      </w:r>
    </w:p>
    <w:p>
      <w:pPr>
        <w:pStyle w:val="BodyText"/>
      </w:pPr>
      <w:r>
        <w:t xml:space="preserve">PAID</w:t>
      </w:r>
    </w:p>
    <w:bookmarkEnd w:id="20"/>
    <w:bookmarkStart w:id="21" w:name="pixelcraft-design-studio"/>
    <w:p>
      <w:pPr>
        <w:pStyle w:val="Heading3"/>
      </w:pPr>
      <w:r>
        <w:t xml:space="preserve">PixelCraft Design Studio</w:t>
      </w:r>
    </w:p>
    <w:p>
      <w:pPr>
        <w:pStyle w:val="FirstParagraph"/>
      </w:pPr>
      <w:r>
        <w:t xml:space="preserve">UX UI Designer &amp; Digital Experience Agency</w:t>
      </w:r>
    </w:p>
    <w:p>
      <w:pPr>
        <w:pStyle w:val="BodyText"/>
      </w:pPr>
      <w:r>
        <w:t xml:space="preserve">Valiasr Street, District 1</w:t>
      </w:r>
    </w:p>
    <w:p>
      <w:pPr>
        <w:pStyle w:val="BodyText"/>
      </w:pPr>
      <w:r>
        <w:t xml:space="preserve">Tehran, Iran — 14186-3521</w:t>
      </w:r>
    </w:p>
    <w:p>
      <w:pPr>
        <w:pStyle w:val="BodyText"/>
      </w:pPr>
      <w:r>
        <w:t xml:space="preserve">Tel: +98 21 8876 5432</w:t>
      </w:r>
    </w:p>
    <w:p>
      <w:pPr>
        <w:pStyle w:val="BodyText"/>
      </w:pPr>
      <w:r>
        <w:t xml:space="preserve">Email: billing@pixelcraft-iran.com</w:t>
      </w:r>
    </w:p>
    <w:p>
      <w:pPr>
        <w:pStyle w:val="BodyText"/>
      </w:pPr>
      <w:r>
        <w:t xml:space="preserve">Shenase Melli: 10294837561</w:t>
      </w:r>
    </w:p>
    <w:bookmarkEnd w:id="21"/>
    <w:bookmarkStart w:id="22" w:name="invoice-number"/>
    <w:p>
      <w:pPr>
        <w:pStyle w:val="Heading4"/>
      </w:pPr>
      <w:r>
        <w:t xml:space="preserve">Invoice Number</w:t>
      </w:r>
    </w:p>
    <w:p>
      <w:pPr>
        <w:pStyle w:val="FirstParagraph"/>
      </w:pPr>
      <w:r>
        <w:t xml:space="preserve">INV-2025-TEH-00472</w:t>
      </w:r>
    </w:p>
    <w:bookmarkEnd w:id="22"/>
    <w:bookmarkStart w:id="23" w:name="issue-date"/>
    <w:p>
      <w:pPr>
        <w:pStyle w:val="Heading4"/>
      </w:pPr>
      <w:r>
        <w:t xml:space="preserve">Issue Date</w:t>
      </w:r>
    </w:p>
    <w:p>
      <w:pPr>
        <w:pStyle w:val="FirstParagraph"/>
      </w:pPr>
      <w:r>
        <w:t xml:space="preserve">15 Farvardin 1404 (April 4, 2025)</w:t>
      </w:r>
    </w:p>
    <w:bookmarkEnd w:id="23"/>
    <w:bookmarkStart w:id="24" w:name="due-date"/>
    <w:p>
      <w:pPr>
        <w:pStyle w:val="Heading4"/>
      </w:pPr>
      <w:r>
        <w:t xml:space="preserve">Due Date</w:t>
      </w:r>
    </w:p>
    <w:p>
      <w:pPr>
        <w:pStyle w:val="FirstParagraph"/>
      </w:pPr>
      <w:r>
        <w:t xml:space="preserve">30 Farvardin 1404 (April 19, 2025)</w:t>
      </w:r>
    </w:p>
    <w:bookmarkEnd w:id="24"/>
    <w:bookmarkStart w:id="25" w:name="project-reference"/>
    <w:p>
      <w:pPr>
        <w:pStyle w:val="Heading4"/>
      </w:pPr>
      <w:r>
        <w:t xml:space="preserve">Project Reference</w:t>
      </w:r>
    </w:p>
    <w:p>
      <w:pPr>
        <w:pStyle w:val="FirstParagraph"/>
      </w:pPr>
      <w:r>
        <w:t xml:space="preserve">UX-UI-TEH-2025-019</w:t>
      </w:r>
    </w:p>
    <w:bookmarkEnd w:id="25"/>
    <w:p>
      <w:pPr>
        <w:pStyle w:val="BodyText"/>
      </w:pPr>
      <w:r>
        <w:t xml:space="preserve">Billed To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Sahar Digital Technologies Co., Ltd.</w:t>
            </w:r>
          </w:p>
        </w:tc>
      </w:tr>
      <w:tr>
        <w:tc>
          <w:tcPr/>
          <w:p>
            <w:pPr>
              <w:pStyle w:val="Compact"/>
              <w:jc w:val="left"/>
            </w:pPr>
            <w:r>
              <w:rPr>
                <w:bCs/>
                <w:b/>
              </w:rPr>
              <w:t xml:space="preserve">Address</w:t>
            </w:r>
          </w:p>
        </w:tc>
        <w:tc>
          <w:tcPr/>
          <w:p>
            <w:pPr>
              <w:pStyle w:val="Compact"/>
              <w:jc w:val="left"/>
            </w:pPr>
            <w:r>
              <w:t xml:space="preserve">Enghelab Avenue, Vali-Asr Square, District 6, Tehran, Iran</w:t>
            </w:r>
          </w:p>
        </w:tc>
      </w:tr>
      <w:tr>
        <w:tc>
          <w:tcPr/>
          <w:p>
            <w:pPr>
              <w:pStyle w:val="Compact"/>
              <w:jc w:val="left"/>
            </w:pPr>
            <w:r>
              <w:rPr>
                <w:bCs/>
                <w:b/>
              </w:rPr>
              <w:t xml:space="preserve">Contact Person</w:t>
            </w:r>
          </w:p>
        </w:tc>
        <w:tc>
          <w:tcPr/>
          <w:p>
            <w:pPr>
              <w:pStyle w:val="Compact"/>
              <w:jc w:val="left"/>
            </w:pPr>
            <w:r>
              <w:t xml:space="preserve">Mr. Amir Hosseini — Head of Product Development</w:t>
            </w:r>
          </w:p>
        </w:tc>
      </w:tr>
      <w:tr>
        <w:tc>
          <w:tcPr/>
          <w:p>
            <w:pPr>
              <w:pStyle w:val="Compact"/>
              <w:jc w:val="left"/>
            </w:pPr>
            <w:r>
              <w:rPr>
                <w:bCs/>
                <w:b/>
              </w:rPr>
              <w:t xml:space="preserve">Email</w:t>
            </w:r>
          </w:p>
        </w:tc>
        <w:tc>
          <w:tcPr/>
          <w:p>
            <w:pPr>
              <w:pStyle w:val="Compact"/>
              <w:jc w:val="left"/>
            </w:pPr>
            <w:r>
              <w:t xml:space="preserve">a.hosseini@sahardigital.ir</w:t>
            </w:r>
          </w:p>
        </w:tc>
      </w:tr>
      <w:tr>
        <w:tc>
          <w:tcPr/>
          <w:p>
            <w:pPr>
              <w:pStyle w:val="Compact"/>
              <w:jc w:val="left"/>
            </w:pPr>
            <w:r>
              <w:rPr>
                <w:bCs/>
                <w:b/>
              </w:rPr>
              <w:t xml:space="preserve">Phone</w:t>
            </w:r>
          </w:p>
        </w:tc>
        <w:tc>
          <w:tcPr/>
          <w:p>
            <w:pPr>
              <w:pStyle w:val="Compact"/>
              <w:jc w:val="left"/>
            </w:pPr>
            <w:r>
              <w:t xml:space="preserve">+98 21 4455 6677</w:t>
            </w:r>
          </w:p>
        </w:tc>
      </w:tr>
    </w:tbl>
    <w:p>
      <w:pPr>
        <w:pStyle w:val="BodyText"/>
      </w:pPr>
      <w:r>
        <w:t xml:space="preserve">Service Description — UX UI Designer Engagement in Iran Tehran</w:t>
      </w:r>
    </w:p>
    <w:p>
      <w:pPr>
        <w:pStyle w:val="BodyText"/>
      </w:pPr>
      <w:r>
        <w:t xml:space="preserve">This Invoice is issued by PixelCraft Design Studio, a specialized UX UI Designer firm headquartered in Iran Tehran, for the comprehensive provision of user experience and user interface design services. The UX UI Designer team engaged under this Invoice has delivered end-to-end design solutions tailored to the digital product ecosystem of the client. All services were performed in accordance with the contractual agreement signed in Iran Tehran and comply with the professional standards recognized by the Iranian Digital Design Association. The scope of work covered by this Invoice includes research, wireframing, prototyping, visual design, design system development, and usability testing conducted within the Iran Tehran metropolitan area.</w:t>
      </w:r>
    </w:p>
    <w:p>
      <w:pPr>
        <w:pStyle w:val="BodyText"/>
      </w:pPr>
      <w:r>
        <w:t xml:space="preserve">Line Items — Detailed Breakdown of UX UI Designer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UX UI Designer Service</w:t>
            </w:r>
          </w:p>
        </w:tc>
        <w:tc>
          <w:tcPr/>
          <w:p>
            <w:pPr>
              <w:pStyle w:val="Compact"/>
              <w:jc w:val="left"/>
            </w:pPr>
            <w:r>
              <w:t xml:space="preserve">Quantity</w:t>
            </w:r>
          </w:p>
        </w:tc>
        <w:tc>
          <w:tcPr/>
          <w:p>
            <w:pPr>
              <w:pStyle w:val="Compact"/>
              <w:jc w:val="left"/>
            </w:pPr>
            <w:r>
              <w:t xml:space="preserve">Unit Rate (IRR)</w:t>
            </w:r>
          </w:p>
        </w:tc>
        <w:tc>
          <w:tcPr/>
          <w:p>
            <w:pPr>
              <w:pStyle w:val="Compact"/>
              <w:jc w:val="left"/>
            </w:pPr>
            <w:r>
              <w:t xml:space="preserve">Amount (IRR)</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User Research &amp; Competitive Analysis — UX UI Designer conducted in-depth user interviews, persona development, and competitive audit for the client's e-commerce platform in Iran Tehran</w:t>
            </w:r>
          </w:p>
        </w:tc>
        <w:tc>
          <w:tcPr/>
          <w:p>
            <w:pPr>
              <w:pStyle w:val="Compact"/>
              <w:jc w:val="left"/>
            </w:pPr>
            <w:r>
              <w:t xml:space="preserve">1</w:t>
            </w:r>
          </w:p>
        </w:tc>
        <w:tc>
          <w:tcPr/>
          <w:p>
            <w:pPr>
              <w:pStyle w:val="Compact"/>
              <w:jc w:val="left"/>
            </w:pPr>
            <w:r>
              <w:t xml:space="preserve">45,000,000</w:t>
            </w:r>
          </w:p>
        </w:tc>
        <w:tc>
          <w:tcPr/>
          <w:p>
            <w:pPr>
              <w:pStyle w:val="Compact"/>
              <w:jc w:val="left"/>
            </w:pPr>
            <w:r>
              <w:t xml:space="preserve">45,000,000</w:t>
            </w:r>
          </w:p>
        </w:tc>
        <w:tc>
          <w:tcPr/>
          <w:p>
            <w:pPr>
              <w:pStyle w:val="Compact"/>
              <w:jc w:val="left"/>
            </w:pPr>
            <w:r>
              <w:t xml:space="preserve">2 weeks</w:t>
            </w:r>
          </w:p>
        </w:tc>
      </w:tr>
      <w:tr>
        <w:tc>
          <w:tcPr/>
          <w:p>
            <w:pPr>
              <w:pStyle w:val="Compact"/>
              <w:jc w:val="left"/>
            </w:pPr>
            <w:r>
              <w:t xml:space="preserve">2</w:t>
            </w:r>
          </w:p>
        </w:tc>
        <w:tc>
          <w:tcPr/>
          <w:p>
            <w:pPr>
              <w:pStyle w:val="Compact"/>
              <w:jc w:val="left"/>
            </w:pPr>
            <w:r>
              <w:t xml:space="preserve">Wireframing &amp; Information Architecture — UX UI Designer delivered low-fidelity wireframes, user flow diagrams, and sitemap for 45+ screens</w:t>
            </w:r>
          </w:p>
        </w:tc>
        <w:tc>
          <w:tcPr/>
          <w:p>
            <w:pPr>
              <w:pStyle w:val="Compact"/>
              <w:jc w:val="left"/>
            </w:pPr>
            <w:r>
              <w:t xml:space="preserve">1</w:t>
            </w:r>
          </w:p>
        </w:tc>
        <w:tc>
          <w:tcPr/>
          <w:p>
            <w:pPr>
              <w:pStyle w:val="Compact"/>
              <w:jc w:val="left"/>
            </w:pPr>
            <w:r>
              <w:t xml:space="preserve">68,000,000</w:t>
            </w:r>
          </w:p>
        </w:tc>
        <w:tc>
          <w:tcPr/>
          <w:p>
            <w:pPr>
              <w:pStyle w:val="Compact"/>
              <w:jc w:val="left"/>
            </w:pPr>
            <w:r>
              <w:t xml:space="preserve">68,000,000</w:t>
            </w:r>
          </w:p>
        </w:tc>
        <w:tc>
          <w:tcPr/>
          <w:p>
            <w:pPr>
              <w:pStyle w:val="Compact"/>
              <w:jc w:val="left"/>
            </w:pPr>
            <w:r>
              <w:t xml:space="preserve">3 weeks</w:t>
            </w:r>
          </w:p>
        </w:tc>
      </w:tr>
      <w:tr>
        <w:tc>
          <w:tcPr/>
          <w:p>
            <w:pPr>
              <w:pStyle w:val="Compact"/>
              <w:jc w:val="left"/>
            </w:pPr>
            <w:r>
              <w:t xml:space="preserve">3</w:t>
            </w:r>
          </w:p>
        </w:tc>
        <w:tc>
          <w:tcPr/>
          <w:p>
            <w:pPr>
              <w:pStyle w:val="Compact"/>
              <w:jc w:val="left"/>
            </w:pPr>
            <w:r>
              <w:t xml:space="preserve">High-Fidelity UI Design — UX UI Designer produced pixel-perfect interface designs, color systems, typography guidelines, and component library in Figma</w:t>
            </w:r>
          </w:p>
        </w:tc>
        <w:tc>
          <w:tcPr/>
          <w:p>
            <w:pPr>
              <w:pStyle w:val="Compact"/>
              <w:jc w:val="left"/>
            </w:pPr>
            <w:r>
              <w:t xml:space="preserve">1</w:t>
            </w:r>
          </w:p>
        </w:tc>
        <w:tc>
          <w:tcPr/>
          <w:p>
            <w:pPr>
              <w:pStyle w:val="Compact"/>
              <w:jc w:val="left"/>
            </w:pPr>
            <w:r>
              <w:t xml:space="preserve">95,000,000</w:t>
            </w:r>
          </w:p>
        </w:tc>
        <w:tc>
          <w:tcPr/>
          <w:p>
            <w:pPr>
              <w:pStyle w:val="Compact"/>
              <w:jc w:val="left"/>
            </w:pPr>
            <w:r>
              <w:t xml:space="preserve">95,000,000</w:t>
            </w:r>
          </w:p>
        </w:tc>
        <w:tc>
          <w:tcPr/>
          <w:p>
            <w:pPr>
              <w:pStyle w:val="Compact"/>
              <w:jc w:val="left"/>
            </w:pPr>
            <w:r>
              <w:t xml:space="preserve">4 weeks</w:t>
            </w:r>
          </w:p>
        </w:tc>
      </w:tr>
      <w:tr>
        <w:tc>
          <w:tcPr/>
          <w:p>
            <w:pPr>
              <w:pStyle w:val="Compact"/>
              <w:jc w:val="left"/>
            </w:pPr>
            <w:r>
              <w:t xml:space="preserve">4</w:t>
            </w:r>
          </w:p>
        </w:tc>
        <w:tc>
          <w:tcPr/>
          <w:p>
            <w:pPr>
              <w:pStyle w:val="Compact"/>
              <w:jc w:val="left"/>
            </w:pPr>
            <w:r>
              <w:t xml:space="preserve">Interactive Prototyping &amp; Usability Testing — UX UI Designer built clickable prototypes and facilitated 6 rounds of moderated usability testing with 30 participants in Iran Tehran</w:t>
            </w:r>
          </w:p>
        </w:tc>
        <w:tc>
          <w:tcPr/>
          <w:p>
            <w:pPr>
              <w:pStyle w:val="Compact"/>
              <w:jc w:val="left"/>
            </w:pPr>
            <w:r>
              <w:t xml:space="preserve">1</w:t>
            </w:r>
          </w:p>
        </w:tc>
        <w:tc>
          <w:tcPr/>
          <w:p>
            <w:pPr>
              <w:pStyle w:val="Compact"/>
              <w:jc w:val="left"/>
            </w:pPr>
            <w:r>
              <w:t xml:space="preserve">52,000,000</w:t>
            </w:r>
          </w:p>
        </w:tc>
        <w:tc>
          <w:tcPr/>
          <w:p>
            <w:pPr>
              <w:pStyle w:val="Compact"/>
              <w:jc w:val="left"/>
            </w:pPr>
            <w:r>
              <w:t xml:space="preserve">52,000,000</w:t>
            </w:r>
          </w:p>
        </w:tc>
        <w:tc>
          <w:tcPr/>
          <w:p>
            <w:pPr>
              <w:pStyle w:val="Compact"/>
              <w:jc w:val="left"/>
            </w:pPr>
            <w:r>
              <w:t xml:space="preserve">2 weeks</w:t>
            </w:r>
          </w:p>
        </w:tc>
      </w:tr>
      <w:tr>
        <w:tc>
          <w:tcPr/>
          <w:p>
            <w:pPr>
              <w:pStyle w:val="Compact"/>
              <w:jc w:val="left"/>
            </w:pPr>
            <w:r>
              <w:t xml:space="preserve">5</w:t>
            </w:r>
          </w:p>
        </w:tc>
        <w:tc>
          <w:tcPr/>
          <w:p>
            <w:pPr>
              <w:pStyle w:val="Compact"/>
              <w:jc w:val="left"/>
            </w:pPr>
            <w:r>
              <w:t xml:space="preserve">Design System &amp; Developer Handoff — UX UI Designer compiled a comprehensive design system documentation, style guide, and annotated handoff files for the development team</w:t>
            </w:r>
          </w:p>
        </w:tc>
        <w:tc>
          <w:tcPr/>
          <w:p>
            <w:pPr>
              <w:pStyle w:val="Compact"/>
              <w:jc w:val="left"/>
            </w:pPr>
            <w:r>
              <w:t xml:space="preserve">1</w:t>
            </w:r>
          </w:p>
        </w:tc>
        <w:tc>
          <w:tcPr/>
          <w:p>
            <w:pPr>
              <w:pStyle w:val="Compact"/>
              <w:jc w:val="left"/>
            </w:pPr>
            <w:r>
              <w:t xml:space="preserve">38,000,000</w:t>
            </w:r>
          </w:p>
        </w:tc>
        <w:tc>
          <w:tcPr/>
          <w:p>
            <w:pPr>
              <w:pStyle w:val="Compact"/>
              <w:jc w:val="left"/>
            </w:pPr>
            <w:r>
              <w:t xml:space="preserve">38,000,000</w:t>
            </w:r>
          </w:p>
        </w:tc>
        <w:tc>
          <w:tcPr/>
          <w:p>
            <w:pPr>
              <w:pStyle w:val="Compact"/>
              <w:jc w:val="left"/>
            </w:pPr>
            <w:r>
              <w:t xml:space="preserve">1 week</w:t>
            </w:r>
          </w:p>
        </w:tc>
      </w:tr>
      <w:tr>
        <w:tc>
          <w:tcPr/>
          <w:p>
            <w:pPr>
              <w:pStyle w:val="Compact"/>
              <w:jc w:val="left"/>
            </w:pPr>
            <w:r>
              <w:t xml:space="preserve">6</w:t>
            </w:r>
          </w:p>
        </w:tc>
        <w:tc>
          <w:tcPr/>
          <w:p>
            <w:pPr>
              <w:pStyle w:val="Compact"/>
              <w:jc w:val="left"/>
            </w:pPr>
            <w:r>
              <w:t xml:space="preserve">Post-Launch UX Audit &amp; Iteration — UX UI Designer performed a post-deployment user experience audit and implemented 3 rounds of iterative improvements based on analytics data</w:t>
            </w:r>
          </w:p>
        </w:tc>
        <w:tc>
          <w:tcPr/>
          <w:p>
            <w:pPr>
              <w:pStyle w:val="Compact"/>
              <w:jc w:val="left"/>
            </w:pPr>
            <w:r>
              <w:t xml:space="preserve">1</w:t>
            </w:r>
          </w:p>
        </w:tc>
        <w:tc>
          <w:tcPr/>
          <w:p>
            <w:pPr>
              <w:pStyle w:val="Compact"/>
              <w:jc w:val="left"/>
            </w:pPr>
            <w:r>
              <w:t xml:space="preserve">42,000,000</w:t>
            </w:r>
          </w:p>
        </w:tc>
        <w:tc>
          <w:tcPr/>
          <w:p>
            <w:pPr>
              <w:pStyle w:val="Compact"/>
              <w:jc w:val="left"/>
            </w:pPr>
            <w:r>
              <w:t xml:space="preserve">42,000,000</w:t>
            </w:r>
          </w:p>
        </w:tc>
        <w:tc>
          <w:tcPr/>
          <w:p>
            <w:pPr>
              <w:pStyle w:val="Compact"/>
              <w:jc w:val="left"/>
            </w:pPr>
            <w:r>
              <w:t xml:space="preserve">2 weeks</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340,000,000 IRR</w:t>
            </w:r>
          </w:p>
        </w:tc>
      </w:tr>
      <w:tr>
        <w:tc>
          <w:tcPr/>
          <w:p>
            <w:pPr>
              <w:pStyle w:val="Compact"/>
              <w:jc w:val="left"/>
            </w:pPr>
            <w:r>
              <w:t xml:space="preserve">VAT (9% — Iran Tax Authority)</w:t>
            </w:r>
          </w:p>
        </w:tc>
        <w:tc>
          <w:tcPr/>
          <w:p>
            <w:pPr>
              <w:pStyle w:val="Compact"/>
              <w:jc w:val="right"/>
            </w:pPr>
            <w:r>
              <w:t xml:space="preserve">30,600,000 IRR</w:t>
            </w:r>
          </w:p>
        </w:tc>
      </w:tr>
      <w:tr>
        <w:tc>
          <w:tcPr/>
          <w:p>
            <w:pPr>
              <w:pStyle w:val="Compact"/>
              <w:jc w:val="left"/>
            </w:pPr>
            <w:r>
              <w:t xml:space="preserve">Discount (Early Payment — 5%)</w:t>
            </w:r>
          </w:p>
        </w:tc>
        <w:tc>
          <w:tcPr/>
          <w:p>
            <w:pPr>
              <w:pStyle w:val="Compact"/>
              <w:jc w:val="right"/>
            </w:pPr>
            <w:r>
              <w:t xml:space="preserve">-17,000,000 IRR</w:t>
            </w:r>
          </w:p>
        </w:tc>
      </w:tr>
      <w:tr>
        <w:tc>
          <w:tcPr/>
          <w:p>
            <w:pPr>
              <w:pStyle w:val="Compact"/>
              <w:jc w:val="left"/>
            </w:pPr>
            <w:r>
              <w:t xml:space="preserve">Grand Total Due</w:t>
            </w:r>
          </w:p>
        </w:tc>
        <w:tc>
          <w:tcPr/>
          <w:p>
            <w:pPr>
              <w:pStyle w:val="Compact"/>
              <w:jc w:val="right"/>
            </w:pPr>
            <w:r>
              <w:t xml:space="preserve">353,600,000 IRR</w:t>
            </w:r>
          </w:p>
        </w:tc>
      </w:tr>
    </w:tbl>
    <w:p>
      <w:pPr>
        <w:pStyle w:val="BodyText"/>
      </w:pPr>
      <w:r>
        <w:t xml:space="preserve">Payment Terms &amp; Banking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Payment Method</w:t>
            </w:r>
          </w:p>
        </w:tc>
        <w:tc>
          <w:tcPr/>
          <w:p>
            <w:pPr>
              <w:pStyle w:val="Compact"/>
              <w:jc w:val="left"/>
            </w:pPr>
            <w:r>
              <w:t xml:space="preserve">Bank Transfer (Shetab / IBAN)</w:t>
            </w:r>
          </w:p>
        </w:tc>
      </w:tr>
      <w:tr>
        <w:tc>
          <w:tcPr/>
          <w:p>
            <w:pPr>
              <w:pStyle w:val="Compact"/>
              <w:jc w:val="left"/>
            </w:pPr>
            <w:r>
              <w:rPr>
                <w:bCs/>
                <w:b/>
              </w:rPr>
              <w:t xml:space="preserve">Bank</w:t>
            </w:r>
          </w:p>
        </w:tc>
        <w:tc>
          <w:tcPr/>
          <w:p>
            <w:pPr>
              <w:pStyle w:val="Compact"/>
              <w:jc w:val="left"/>
            </w:pPr>
            <w:r>
              <w:t xml:space="preserve">Mellat Bank, Tehran Central Branch, Iran</w:t>
            </w:r>
          </w:p>
        </w:tc>
      </w:tr>
      <w:tr>
        <w:tc>
          <w:tcPr/>
          <w:p>
            <w:pPr>
              <w:pStyle w:val="Compact"/>
              <w:jc w:val="left"/>
            </w:pPr>
            <w:r>
              <w:rPr>
                <w:bCs/>
                <w:b/>
              </w:rPr>
              <w:t xml:space="preserve">Account Name</w:t>
            </w:r>
          </w:p>
        </w:tc>
        <w:tc>
          <w:tcPr/>
          <w:p>
            <w:pPr>
              <w:pStyle w:val="Compact"/>
              <w:jc w:val="left"/>
            </w:pPr>
            <w:r>
              <w:t xml:space="preserve">PixelCraft Design Studio Co.</w:t>
            </w:r>
          </w:p>
        </w:tc>
      </w:tr>
      <w:tr>
        <w:tc>
          <w:tcPr/>
          <w:p>
            <w:pPr>
              <w:pStyle w:val="Compact"/>
              <w:jc w:val="left"/>
            </w:pPr>
            <w:r>
              <w:rPr>
                <w:bCs/>
                <w:b/>
              </w:rPr>
              <w:t xml:space="preserve">IBAN</w:t>
            </w:r>
          </w:p>
        </w:tc>
        <w:tc>
          <w:tcPr/>
          <w:p>
            <w:pPr>
              <w:pStyle w:val="Compact"/>
              <w:jc w:val="left"/>
            </w:pPr>
            <w:r>
              <w:t xml:space="preserve">IR60 0540 1029 4837 5610 0001 2345</w:t>
            </w:r>
          </w:p>
        </w:tc>
      </w:tr>
      <w:tr>
        <w:tc>
          <w:tcPr/>
          <w:p>
            <w:pPr>
              <w:pStyle w:val="Compact"/>
              <w:jc w:val="left"/>
            </w:pPr>
            <w:r>
              <w:rPr>
                <w:bCs/>
                <w:b/>
              </w:rPr>
              <w:t xml:space="preserve">Payment Terms</w:t>
            </w:r>
          </w:p>
        </w:tc>
        <w:tc>
          <w:tcPr/>
          <w:p>
            <w:pPr>
              <w:pStyle w:val="Compact"/>
              <w:jc w:val="left"/>
            </w:pPr>
            <w:r>
              <w:t xml:space="preserve">50% advance upon Invoice acceptance; 50% upon final delivery. Late payments incur a 2% monthly surcharge as per Iranian commercial law.</w:t>
            </w:r>
          </w:p>
        </w:tc>
      </w:tr>
    </w:tbl>
    <w:bookmarkStart w:id="26" w:name="important-notes-regarding-this-invoice"/>
    <w:p>
      <w:pPr>
        <w:pStyle w:val="Heading4"/>
      </w:pPr>
      <w:r>
        <w:t xml:space="preserve">Important Notes Regarding This Invoice</w:t>
      </w:r>
    </w:p>
    <w:p>
      <w:pPr>
        <w:pStyle w:val="FirstParagraph"/>
      </w:pPr>
      <w:r>
        <w:t xml:space="preserve">1. This Invoice is valid for 30 calendar days from the issue date. After the due date, the UX UI Designer services listed herein will be subject to a late payment penalty as stipulated in the master service agreement.</w:t>
      </w:r>
      <w:r>
        <w:br/>
      </w:r>
      <w:r>
        <w:br/>
      </w:r>
      <w:r>
        <w:t xml:space="preserve">2. All UX UI Designer deliverables referenced in this Invoice are the intellectual property of the client upon full payment. The design files, source documents, and component libraries will be transferred via secure cloud storage.</w:t>
      </w:r>
      <w:r>
        <w:br/>
      </w:r>
      <w:r>
        <w:br/>
      </w:r>
      <w:r>
        <w:t xml:space="preserve">3. This Invoice has been prepared in compliance with the Iranian National Information Center (NIC) electronic invoicing regulations. A digital copy of this Invoice has been registered with the Iranian Tax Administration (Ershad System).</w:t>
      </w:r>
      <w:r>
        <w:br/>
      </w:r>
      <w:r>
        <w:br/>
      </w:r>
      <w:r>
        <w:t xml:space="preserve">4. The UX UI Designer services were performed entirely within Iran Tehran. All applicable local labor, licensing, and tax obligations have been fulfilled by PixelCraft Design Studio.</w:t>
      </w:r>
      <w:r>
        <w:br/>
      </w:r>
      <w:r>
        <w:br/>
      </w:r>
      <w:r>
        <w:t xml:space="preserve">5. For any disputes or clarifications regarding this Invoice, please contact the billing department at billing@pixelcraft-iran.com or visit our office at Valiasr Street, Tehran, Iran during business hours (Saturday to Wednesday, 9:00 AM to 6:00 PM Iran Standard Time).</w:t>
      </w:r>
    </w:p>
    <w:bookmarkEnd w:id="26"/>
    <w:p>
      <w:pPr>
        <w:pStyle w:val="BodyText"/>
      </w:pPr>
      <w:r>
        <w:rPr>
          <w:bCs/>
          <w:b/>
        </w:rPr>
        <w:t xml:space="preserve">PixelCraft Design Studio</w:t>
      </w:r>
      <w:r>
        <w:t xml:space="preserve"> </w:t>
      </w:r>
      <w:r>
        <w:t xml:space="preserve">— UX UI Designer &amp; Digital Experience Agency</w:t>
      </w:r>
      <w:r>
        <w:br/>
      </w:r>
      <w:r>
        <w:t xml:space="preserve">Valiasr Street, District 1, Tehran, Iran — Postal Code: 14186-3521</w:t>
      </w:r>
      <w:r>
        <w:br/>
      </w:r>
      <w:r>
        <w:t xml:space="preserve">This Invoice was generated electronically and is legally valid without a physical signature per Iranian Electronic Transactions Law (2002).</w:t>
      </w:r>
      <w:r>
        <w:br/>
      </w:r>
      <w:r>
        <w:br/>
      </w:r>
      <w:r>
        <w:t xml:space="preserve">Invoice Reference: INV-2025-TEH-00472 | Generated: 15 Farvardin 1404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UX UI Designer Services - Iran Tehran</dc:title>
  <dc:creator/>
  <dc:language>en</dc:language>
  <cp:keywords/>
  <dcterms:created xsi:type="dcterms:W3CDTF">2026-10-10T06:10:39Z</dcterms:created>
  <dcterms:modified xsi:type="dcterms:W3CDTF">2026-10-10T06:10:39Z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