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Iraq</w:t>
      </w:r>
      <w:r>
        <w:t xml:space="preserve"> </w:t>
      </w:r>
      <w:r>
        <w:t xml:space="preserve">Baghdad</w:t>
      </w:r>
    </w:p>
    <w:bookmarkStart w:id="20" w:name="invoice"/>
    <w:p>
      <w:pPr>
        <w:pStyle w:val="Heading1"/>
      </w:pPr>
      <w:r>
        <w:t xml:space="preserve">INVOICE</w:t>
      </w:r>
    </w:p>
    <w:p>
      <w:pPr>
        <w:pStyle w:val="FirstParagraph"/>
      </w:pPr>
      <w:r>
        <w:t xml:space="preserve">Professional UX UI Design Services — Iraq Baghdad</w:t>
      </w:r>
    </w:p>
    <w:p>
      <w:pPr>
        <w:pStyle w:val="BodyText"/>
      </w:pPr>
      <w:r>
        <w:t xml:space="preserve">INVOICE #IQ-BGD-2025-0047</w:t>
      </w:r>
    </w:p>
    <w:bookmarkEnd w:id="20"/>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Invoice Currency:</w:t>
      </w:r>
      <w:r>
        <w:t xml:space="preserve"> </w:t>
      </w:r>
      <w:r>
        <w:t xml:space="preserve">Iraqi Dinar (IQD)</w:t>
      </w:r>
    </w:p>
    <w:p>
      <w:pPr>
        <w:pStyle w:val="BodyText"/>
      </w:pPr>
      <w:r>
        <w:rPr>
          <w:bCs/>
          <w:b/>
        </w:rPr>
        <w:t xml:space="preserve">Payment Method:</w:t>
      </w:r>
      <w:r>
        <w:t xml:space="preserve"> </w:t>
      </w:r>
      <w:r>
        <w:t xml:space="preserve">Bank Transfer</w:t>
      </w:r>
    </w:p>
    <w:bookmarkStart w:id="21" w:name="invoice-issued-by-ux-ui-designer"/>
    <w:p>
      <w:pPr>
        <w:pStyle w:val="Heading3"/>
      </w:pPr>
      <w:r>
        <w:t xml:space="preserve">Invoice Issued By (UX UI Designer)</w:t>
      </w:r>
    </w:p>
    <w:p>
      <w:pPr>
        <w:pStyle w:val="FirstParagraph"/>
      </w:pPr>
      <w:r>
        <w:rPr>
          <w:bCs/>
          <w:b/>
        </w:rPr>
        <w:t xml:space="preserve">Name:</w:t>
      </w:r>
      <w:r>
        <w:t xml:space="preserve"> </w:t>
      </w:r>
      <w:r>
        <w:t xml:space="preserve">Alaa Al-Rashid</w:t>
      </w:r>
    </w:p>
    <w:p>
      <w:pPr>
        <w:pStyle w:val="BodyText"/>
      </w:pPr>
      <w:r>
        <w:rPr>
          <w:bCs/>
          <w:b/>
        </w:rPr>
        <w:t xml:space="preserve">Title:</w:t>
      </w:r>
      <w:r>
        <w:t xml:space="preserve"> </w:t>
      </w:r>
      <w:r>
        <w:t xml:space="preserve">Senior UX UI Designer</w:t>
      </w:r>
    </w:p>
    <w:p>
      <w:pPr>
        <w:pStyle w:val="BodyText"/>
      </w:pPr>
      <w:r>
        <w:rPr>
          <w:bCs/>
          <w:b/>
        </w:rPr>
        <w:t xml:space="preserve">Studio:</w:t>
      </w:r>
      <w:r>
        <w:t xml:space="preserve"> </w:t>
      </w:r>
      <w:r>
        <w:t xml:space="preserve">Tigris Digital Design Studio</w:t>
      </w:r>
    </w:p>
    <w:p>
      <w:pPr>
        <w:pStyle w:val="BodyText"/>
      </w:pPr>
      <w:r>
        <w:rPr>
          <w:bCs/>
          <w:b/>
        </w:rPr>
        <w:t xml:space="preserve">Address:</w:t>
      </w:r>
      <w:r>
        <w:t xml:space="preserve"> </w:t>
      </w:r>
      <w:r>
        <w:t xml:space="preserve">Al-Mansour District, Al-Rashid Street, Baghdad, Iraq</w:t>
      </w:r>
    </w:p>
    <w:p>
      <w:pPr>
        <w:pStyle w:val="BodyText"/>
      </w:pPr>
      <w:r>
        <w:rPr>
          <w:bCs/>
          <w:b/>
        </w:rPr>
        <w:t xml:space="preserve">Email:</w:t>
      </w:r>
      <w:r>
        <w:t xml:space="preserve"> </w:t>
      </w:r>
      <w:r>
        <w:t xml:space="preserve">alaa@tigrisdesign.iq</w:t>
      </w:r>
    </w:p>
    <w:p>
      <w:pPr>
        <w:pStyle w:val="BodyText"/>
      </w:pPr>
      <w:r>
        <w:rPr>
          <w:bCs/>
          <w:b/>
        </w:rPr>
        <w:t xml:space="preserve">Phone:</w:t>
      </w:r>
      <w:r>
        <w:t xml:space="preserve"> </w:t>
      </w:r>
      <w:r>
        <w:t xml:space="preserve">+964 770 123 4567</w:t>
      </w:r>
    </w:p>
    <w:p>
      <w:pPr>
        <w:pStyle w:val="BodyText"/>
      </w:pPr>
      <w:r>
        <w:rPr>
          <w:bCs/>
          <w:b/>
        </w:rPr>
        <w:t xml:space="preserve">Tax Registration (Iraq):</w:t>
      </w:r>
      <w:r>
        <w:t xml:space="preserve"> </w:t>
      </w:r>
      <w:r>
        <w:t xml:space="preserve">TR-36-2024-8891</w:t>
      </w:r>
    </w:p>
    <w:bookmarkEnd w:id="21"/>
    <w:bookmarkStart w:id="22" w:name="invoice-billed-to-client"/>
    <w:p>
      <w:pPr>
        <w:pStyle w:val="Heading3"/>
      </w:pPr>
      <w:r>
        <w:t xml:space="preserve">Invoice Billed To (Client)</w:t>
      </w:r>
    </w:p>
    <w:p>
      <w:pPr>
        <w:pStyle w:val="FirstParagraph"/>
      </w:pPr>
      <w:r>
        <w:rPr>
          <w:bCs/>
          <w:b/>
        </w:rPr>
        <w:t xml:space="preserve">Company:</w:t>
      </w:r>
      <w:r>
        <w:t xml:space="preserve"> </w:t>
      </w:r>
      <w:r>
        <w:t xml:space="preserve">Mesopotamia Fintech Solutions Ltd.</w:t>
      </w:r>
    </w:p>
    <w:p>
      <w:pPr>
        <w:pStyle w:val="BodyText"/>
      </w:pPr>
      <w:r>
        <w:rPr>
          <w:bCs/>
          <w:b/>
        </w:rPr>
        <w:t xml:space="preserve">Attention:</w:t>
      </w:r>
      <w:r>
        <w:t xml:space="preserve"> </w:t>
      </w:r>
      <w:r>
        <w:t xml:space="preserve">Dr. Hanaa Al-Karawi, CTO</w:t>
      </w:r>
    </w:p>
    <w:p>
      <w:pPr>
        <w:pStyle w:val="BodyText"/>
      </w:pPr>
      <w:r>
        <w:rPr>
          <w:bCs/>
          <w:b/>
        </w:rPr>
        <w:t xml:space="preserve">Address:</w:t>
      </w:r>
      <w:r>
        <w:t xml:space="preserve"> </w:t>
      </w:r>
      <w:r>
        <w:t xml:space="preserve">Al-Karama Business District, Baghdad, Iraq</w:t>
      </w:r>
    </w:p>
    <w:p>
      <w:pPr>
        <w:pStyle w:val="BodyText"/>
      </w:pPr>
      <w:r>
        <w:rPr>
          <w:bCs/>
          <w:b/>
        </w:rPr>
        <w:t xml:space="preserve">Email:</w:t>
      </w:r>
      <w:r>
        <w:t xml:space="preserve"> </w:t>
      </w:r>
      <w:r>
        <w:t xml:space="preserve">hanaa@mesofintech.iq</w:t>
      </w:r>
    </w:p>
    <w:p>
      <w:pPr>
        <w:pStyle w:val="BodyText"/>
      </w:pPr>
      <w:r>
        <w:rPr>
          <w:bCs/>
          <w:b/>
        </w:rPr>
        <w:t xml:space="preserve">Phone:</w:t>
      </w:r>
      <w:r>
        <w:t xml:space="preserve"> </w:t>
      </w:r>
      <w:r>
        <w:t xml:space="preserve">+964 781 987 6543</w:t>
      </w:r>
    </w:p>
    <w:p>
      <w:pPr>
        <w:pStyle w:val="BodyText"/>
      </w:pPr>
      <w:r>
        <w:rPr>
          <w:bCs/>
          <w:b/>
        </w:rPr>
        <w:t xml:space="preserve">Client Reference:</w:t>
      </w:r>
      <w:r>
        <w:t xml:space="preserve"> </w:t>
      </w:r>
      <w:r>
        <w:t xml:space="preserve">MFS-UX-2025-Q2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UX UI Design Service Description</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(IQD/hr)</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UX Research &amp; User Journey Mapping for mobile banking application. Conducted 12 user interviews in Baghdad, Iraq, and synthesized findings into actionable design insights.</w:t>
            </w:r>
          </w:p>
        </w:tc>
        <w:tc>
          <w:tcPr/>
          <w:p>
            <w:pPr>
              <w:pStyle w:val="Compact"/>
              <w:jc w:val="left"/>
            </w:pPr>
            <w:r>
              <w:t xml:space="preserve">Research Report, Journey Maps</w:t>
            </w:r>
          </w:p>
        </w:tc>
        <w:tc>
          <w:tcPr/>
          <w:p>
            <w:pPr>
              <w:pStyle w:val="Compact"/>
              <w:jc w:val="left"/>
            </w:pPr>
            <w:r>
              <w:t xml:space="preserve">40</w:t>
            </w:r>
          </w:p>
        </w:tc>
        <w:tc>
          <w:tcPr/>
          <w:p>
            <w:pPr>
              <w:pStyle w:val="Compact"/>
              <w:jc w:val="left"/>
            </w:pPr>
            <w:r>
              <w:t xml:space="preserve">75,000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UI Design System Development. Created a comprehensive design system including 120+ components, color tokens, typography scales, and interaction patterns tailored for the Iraqi market and RTL (Right-to-Left) Arabic interface requirements.</w:t>
            </w:r>
          </w:p>
        </w:tc>
        <w:tc>
          <w:tcPr/>
          <w:p>
            <w:pPr>
              <w:pStyle w:val="Compact"/>
              <w:jc w:val="left"/>
            </w:pPr>
            <w:r>
              <w:t xml:space="preserve">Figma Design System Library</w:t>
            </w:r>
          </w:p>
        </w:tc>
        <w:tc>
          <w:tcPr/>
          <w:p>
            <w:pPr>
              <w:pStyle w:val="Compact"/>
              <w:jc w:val="left"/>
            </w:pPr>
            <w:r>
              <w:t xml:space="preserve">60</w:t>
            </w:r>
          </w:p>
        </w:tc>
        <w:tc>
          <w:tcPr/>
          <w:p>
            <w:pPr>
              <w:pStyle w:val="Compact"/>
              <w:jc w:val="left"/>
            </w:pPr>
            <w:r>
              <w:t xml:space="preserve">80,000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Wireframing &amp; Prototyping. Designed 45+ high-fidelity wireframes and interactive prototypes for the core banking flows including onboarding, account management, transfers, and transaction history.</w:t>
            </w:r>
          </w:p>
        </w:tc>
        <w:tc>
          <w:tcPr/>
          <w:p>
            <w:pPr>
              <w:pStyle w:val="Compact"/>
              <w:jc w:val="left"/>
            </w:pPr>
            <w:r>
              <w:t xml:space="preserve">Interactive Figma Prototype</w:t>
            </w:r>
          </w:p>
        </w:tc>
        <w:tc>
          <w:tcPr/>
          <w:p>
            <w:pPr>
              <w:pStyle w:val="Compact"/>
              <w:jc w:val="left"/>
            </w:pPr>
            <w:r>
              <w:t xml:space="preserve">50</w:t>
            </w:r>
          </w:p>
        </w:tc>
        <w:tc>
          <w:tcPr/>
          <w:p>
            <w:pPr>
              <w:pStyle w:val="Compact"/>
              <w:jc w:val="left"/>
            </w:pPr>
            <w:r>
              <w:t xml:space="preserve">75,000</w:t>
            </w:r>
          </w:p>
        </w:tc>
        <w:tc>
          <w:tcPr/>
          <w:p>
            <w:pPr>
              <w:pStyle w:val="Compact"/>
              <w:jc w:val="left"/>
            </w:pPr>
            <w:r>
              <w:t xml:space="preserve">3,750,000</w:t>
            </w:r>
          </w:p>
        </w:tc>
      </w:tr>
      <w:tr>
        <w:tc>
          <w:tcPr/>
          <w:p>
            <w:pPr>
              <w:pStyle w:val="Compact"/>
              <w:jc w:val="left"/>
            </w:pPr>
            <w:r>
              <w:t xml:space="preserve">4</w:t>
            </w:r>
          </w:p>
        </w:tc>
        <w:tc>
          <w:tcPr/>
          <w:p>
            <w:pPr>
              <w:pStyle w:val="Compact"/>
              <w:jc w:val="left"/>
            </w:pPr>
            <w:r>
              <w:t xml:space="preserve">Usability Testing &amp; Iteration. Facilitated 3 rounds of moderated usability testing with 18 participants in Baghdad, Iraq. Applied iterative refinements to improve task completion rates by 34%.</w:t>
            </w:r>
          </w:p>
        </w:tc>
        <w:tc>
          <w:tcPr/>
          <w:p>
            <w:pPr>
              <w:pStyle w:val="Compact"/>
              <w:jc w:val="left"/>
            </w:pPr>
            <w:r>
              <w:t xml:space="preserve">Testing Report, Revised UI</w:t>
            </w:r>
          </w:p>
        </w:tc>
        <w:tc>
          <w:tcPr/>
          <w:p>
            <w:pPr>
              <w:pStyle w:val="Compact"/>
              <w:jc w:val="left"/>
            </w:pPr>
            <w:r>
              <w:t xml:space="preserve">35</w:t>
            </w:r>
          </w:p>
        </w:tc>
        <w:tc>
          <w:tcPr/>
          <w:p>
            <w:pPr>
              <w:pStyle w:val="Compact"/>
              <w:jc w:val="left"/>
            </w:pPr>
            <w:r>
              <w:t xml:space="preserve">80,000</w:t>
            </w:r>
          </w:p>
        </w:tc>
        <w:tc>
          <w:tcPr/>
          <w:p>
            <w:pPr>
              <w:pStyle w:val="Compact"/>
              <w:jc w:val="left"/>
            </w:pPr>
            <w:r>
              <w:t xml:space="preserve">2,800,000</w:t>
            </w:r>
          </w:p>
        </w:tc>
      </w:tr>
      <w:tr>
        <w:tc>
          <w:tcPr/>
          <w:p>
            <w:pPr>
              <w:pStyle w:val="Compact"/>
              <w:jc w:val="left"/>
            </w:pPr>
            <w:r>
              <w:t xml:space="preserve">5</w:t>
            </w:r>
          </w:p>
        </w:tc>
        <w:tc>
          <w:tcPr/>
          <w:p>
            <w:pPr>
              <w:pStyle w:val="Compact"/>
              <w:jc w:val="left"/>
            </w:pPr>
            <w:r>
              <w:t xml:space="preserve">Developer Handoff &amp; Design QA. Prepared annotated design specifications, asset exports, and conducted 2 weeks of design quality assurance during the development sprint to ensure pixel-perfect implementation.</w:t>
            </w:r>
          </w:p>
        </w:tc>
        <w:tc>
          <w:tcPr/>
          <w:p>
            <w:pPr>
              <w:pStyle w:val="Compact"/>
              <w:jc w:val="left"/>
            </w:pPr>
            <w:r>
              <w:t xml:space="preserve">Spec Documents, QA Sign-off</w:t>
            </w:r>
          </w:p>
        </w:tc>
        <w:tc>
          <w:tcPr/>
          <w:p>
            <w:pPr>
              <w:pStyle w:val="Compact"/>
              <w:jc w:val="left"/>
            </w:pPr>
            <w:r>
              <w:t xml:space="preserve">30</w:t>
            </w:r>
          </w:p>
        </w:tc>
        <w:tc>
          <w:tcPr/>
          <w:p>
            <w:pPr>
              <w:pStyle w:val="Compact"/>
              <w:jc w:val="left"/>
            </w:pPr>
            <w:r>
              <w:t xml:space="preserve">70,000</w:t>
            </w:r>
          </w:p>
        </w:tc>
        <w:tc>
          <w:tcPr/>
          <w:p>
            <w:pPr>
              <w:pStyle w:val="Compact"/>
              <w:jc w:val="left"/>
            </w:pPr>
            <w:r>
              <w:t xml:space="preserve">2,100,000</w:t>
            </w:r>
          </w:p>
        </w:tc>
      </w:tr>
      <w:tr>
        <w:tc>
          <w:tcPr/>
          <w:p>
            <w:pPr>
              <w:pStyle w:val="Compact"/>
              <w:jc w:val="left"/>
            </w:pPr>
            <w:r>
              <w:t xml:space="preserve">6</w:t>
            </w:r>
          </w:p>
        </w:tc>
        <w:tc>
          <w:tcPr/>
          <w:p>
            <w:pPr>
              <w:pStyle w:val="Compact"/>
              <w:jc w:val="left"/>
            </w:pPr>
            <w:r>
              <w:t xml:space="preserve">UX UI Design Consultation &amp; Training. Delivered a 2-day workshop for the in-house product team in Baghdad, Iraq, covering UX UI best practices, accessibility standards, and Arabic-first design principles.</w:t>
            </w:r>
          </w:p>
        </w:tc>
        <w:tc>
          <w:tcPr/>
          <w:p>
            <w:pPr>
              <w:pStyle w:val="Compact"/>
              <w:jc w:val="left"/>
            </w:pPr>
            <w:r>
              <w:t xml:space="preserve">Workshop Materials, Recording</w:t>
            </w:r>
          </w:p>
        </w:tc>
        <w:tc>
          <w:tcPr/>
          <w:p>
            <w:pPr>
              <w:pStyle w:val="Compact"/>
              <w:jc w:val="left"/>
            </w:pPr>
            <w:r>
              <w:t xml:space="preserve">16</w:t>
            </w:r>
          </w:p>
        </w:tc>
        <w:tc>
          <w:tcPr/>
          <w:p>
            <w:pPr>
              <w:pStyle w:val="Compact"/>
              <w:jc w:val="left"/>
            </w:pPr>
            <w:r>
              <w:t xml:space="preserve">90,000</w:t>
            </w:r>
          </w:p>
        </w:tc>
        <w:tc>
          <w:tcPr/>
          <w:p>
            <w:pPr>
              <w:pStyle w:val="Compact"/>
              <w:jc w:val="left"/>
            </w:pPr>
            <w:r>
              <w:t xml:space="preserve">1,440,000</w:t>
            </w:r>
          </w:p>
        </w:tc>
      </w:tr>
    </w:tbl>
    <w:p>
      <w:pPr>
        <w:pStyle w:val="BodyText"/>
      </w:pPr>
      <w:r>
        <w:t xml:space="preserve">Subtotal:</w:t>
      </w:r>
      <w:r>
        <w:t xml:space="preserve">17,890,000 IQD</w:t>
      </w:r>
    </w:p>
    <w:p>
      <w:pPr>
        <w:pStyle w:val="BodyText"/>
      </w:pPr>
      <w:r>
        <w:t xml:space="preserve">VAT (5% — Iraq Standard Rate):</w:t>
      </w:r>
      <w:r>
        <w:t xml:space="preserve">894,500 IQD</w:t>
      </w:r>
    </w:p>
    <w:p>
      <w:pPr>
        <w:pStyle w:val="BodyText"/>
      </w:pPr>
      <w:r>
        <w:t xml:space="preserve">Discount (Early Payment 3%):</w:t>
      </w:r>
      <w:r>
        <w:t xml:space="preserve">-536,700 IQD</w:t>
      </w:r>
    </w:p>
    <w:p>
      <w:pPr>
        <w:pStyle w:val="BodyText"/>
      </w:pPr>
      <w:r>
        <w:t xml:space="preserve">Grand Total Due:</w:t>
      </w:r>
      <w:r>
        <w:t xml:space="preserve">18,247,800 IQD</w:t>
      </w:r>
    </w:p>
    <w:bookmarkStart w:id="23" w:name="payment-terms-invoice-conditions"/>
    <w:p>
      <w:pPr>
        <w:pStyle w:val="Heading3"/>
      </w:pPr>
      <w:r>
        <w:t xml:space="preserve">Payment Terms &amp; Invoice Conditions</w:t>
      </w:r>
    </w:p>
    <w:p>
      <w:pPr>
        <w:numPr>
          <w:ilvl w:val="0"/>
          <w:numId w:val="1001"/>
        </w:numPr>
        <w:pStyle w:val="Compact"/>
      </w:pPr>
      <w:r>
        <w:t xml:space="preserve">This Invoice is payable within 15 calendar days from the Invoice Date (15 June 2025). The full amount of 18,247,800 IQD is due no later than 30 June 2025.</w:t>
      </w:r>
    </w:p>
    <w:p>
      <w:pPr>
        <w:numPr>
          <w:ilvl w:val="0"/>
          <w:numId w:val="1001"/>
        </w:numPr>
        <w:pStyle w:val="Compact"/>
      </w:pPr>
      <w:r>
        <w:t xml:space="preserve">Payment shall be made via bank transfer to: Tigris Digital Design Studio, Bank of Baghdad, Branch: Al-Mansour, Account No: 001-4567-8901-2345, SWIFT: BOBBIQBB.</w:t>
      </w:r>
    </w:p>
    <w:p>
      <w:pPr>
        <w:numPr>
          <w:ilvl w:val="0"/>
          <w:numId w:val="1001"/>
        </w:numPr>
        <w:pStyle w:val="Compact"/>
      </w:pPr>
      <w:r>
        <w:t xml:space="preserve">A late payment fee of 2% per month will be applied to any outstanding balance beyond the due date, in accordance with Iraqi commercial regulations.</w:t>
      </w:r>
    </w:p>
    <w:p>
      <w:pPr>
        <w:numPr>
          <w:ilvl w:val="0"/>
          <w:numId w:val="1001"/>
        </w:numPr>
        <w:pStyle w:val="Compact"/>
      </w:pPr>
      <w:r>
        <w:t xml:space="preserve">This Invoice is valid for 60 days from the date of issue. After this period, the Invoice must be reissued by the UX UI Designer.</w:t>
      </w:r>
    </w:p>
    <w:p>
      <w:pPr>
        <w:numPr>
          <w:ilvl w:val="0"/>
          <w:numId w:val="1001"/>
        </w:numPr>
        <w:pStyle w:val="Compact"/>
      </w:pPr>
      <w:r>
        <w:t xml:space="preserve">All services described in this Invoice were performed by a certified UX UI Designer operating legally within Iraq Baghdad, in compliance with the Iraqi Ministry of Commerce regulations for freelance digital services.</w:t>
      </w:r>
    </w:p>
    <w:bookmarkEnd w:id="23"/>
    <w:bookmarkStart w:id="24" w:name="additional-notes-from-the-ux-ui-designer"/>
    <w:p>
      <w:pPr>
        <w:pStyle w:val="Heading3"/>
      </w:pPr>
      <w:r>
        <w:t xml:space="preserve">Additional Notes from the UX UI Designer</w:t>
      </w:r>
    </w:p>
    <w:p>
      <w:pPr>
        <w:pStyle w:val="FirstParagraph"/>
      </w:pPr>
      <w:r>
        <w:t xml:space="preserve">Dear Dr. Al-Karawi and the Mesopotamia Fintech team, thank you for entrusting Tigris Digital Design Studio with the UX UI design of your flagship banking application. This Invoice covers all deliverables completed between 1 March 2025 and 10 June 2025 in Iraq Baghdad. All source files, Figma libraries, and research documentation have been transferred to your team's shared workspace. I remain available for a 30-day post-delivery support window at no additional cost. Should you require further UX UI design iterations, additional screen design, or ongoing design system maintenance, please contact me directly and I will issue a supplementary Invoice with a detailed scope of work. I am proud to contribute to the growing digital economy of Iraq Baghdad and look forward to our continued collaboration.</w:t>
      </w:r>
    </w:p>
    <w:bookmarkEnd w:id="24"/>
    <w:p>
      <w:pPr>
        <w:pStyle w:val="BodyText"/>
      </w:pPr>
      <w:r>
        <w:rPr>
          <w:bCs/>
          <w:b/>
        </w:rPr>
        <w:t xml:space="preserve">INVOICE #IQ-BGD-2025-0047</w:t>
      </w:r>
      <w:r>
        <w:t xml:space="preserve"> </w:t>
      </w:r>
      <w:r>
        <w:t xml:space="preserve">— Issued by Alaa Al-Rashid, UX UI Designer, Tigris Digital Design Studio, Baghdad, Iraq</w:t>
      </w:r>
    </w:p>
    <w:p>
      <w:pPr>
        <w:pStyle w:val="BodyText"/>
      </w:pPr>
      <w:r>
        <w:t xml:space="preserve">This Invoice is a legally binding document under Iraqi commercial law. For disputes, the competent courts of Baghdad, Iraq shall have jurisdiction.</w:t>
      </w:r>
    </w:p>
    <w:p>
      <w:pPr>
        <w:pStyle w:val="BodyText"/>
      </w:pPr>
      <w:r>
        <w:t xml:space="preserve">© 2025 Tigris Digital Design Studio — All Rights Reserved —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 Iraq Baghdad</dc:title>
  <dc:creator/>
  <dc:language>en</dc:language>
  <cp:keywords/>
  <dcterms:created xsi:type="dcterms:W3CDTF">2026-10-10T08:37:43Z</dcterms:created>
  <dcterms:modified xsi:type="dcterms:W3CDTF">2026-10-10T08:37:43Z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