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Japan</w:t>
      </w:r>
      <w:r>
        <w:t xml:space="preserve"> </w:t>
      </w:r>
      <w:r>
        <w:t xml:space="preserve">Osaka</w:t>
      </w:r>
    </w:p>
    <w:p>
      <w:pPr>
        <w:pStyle w:val="FirstParagraph"/>
      </w:pPr>
      <w:r>
        <w:t xml:space="preserve">INVOICE</w:t>
      </w:r>
    </w:p>
    <w:p>
      <w:pPr>
        <w:pStyle w:val="BodyText"/>
      </w:pPr>
      <w:r>
        <w:t xml:space="preserve">Professional UX UI Designer Services</w:t>
      </w:r>
    </w:p>
    <w:p>
      <w:pPr>
        <w:pStyle w:val="BodyText"/>
      </w:pPr>
      <w:r>
        <w:t xml:space="preserve">Serving Clients in Japan Osaka and Beyond</w:t>
      </w:r>
    </w:p>
    <w:bookmarkStart w:id="20" w:name="invoice-jpo-2025-0472"/>
    <w:p>
      <w:pPr>
        <w:pStyle w:val="Heading2"/>
      </w:pPr>
      <w:r>
        <w:t xml:space="preserve">Invoice #JPO-2025-0472</w:t>
      </w:r>
    </w:p>
    <w:p>
      <w:pPr>
        <w:pStyle w:val="FirstParagraph"/>
      </w:pPr>
      <w:r>
        <w:t xml:space="preserve">Invoice Date: June 15, 2025</w:t>
      </w:r>
    </w:p>
    <w:p>
      <w:pPr>
        <w:pStyle w:val="BodyText"/>
      </w:pPr>
      <w:r>
        <w:t xml:space="preserve">Due Date: July 15, 2025</w:t>
      </w:r>
    </w:p>
    <w:p>
      <w:pPr>
        <w:pStyle w:val="BodyText"/>
      </w:pPr>
      <w:r>
        <w:t xml:space="preserve">Service Period: May 1 – June 14, 2025</w:t>
      </w:r>
    </w:p>
    <w:p>
      <w:pPr>
        <w:pStyle w:val="BodyText"/>
      </w:pPr>
      <w:r>
        <w:t xml:space="preserve">PENDING PAYMENT</w:t>
      </w:r>
    </w:p>
    <w:bookmarkEnd w:id="20"/>
    <w:bookmarkStart w:id="21" w:name="billed-by-service-provider"/>
    <w:p>
      <w:pPr>
        <w:pStyle w:val="Heading3"/>
      </w:pPr>
      <w:r>
        <w:t xml:space="preserve">Billed By (Service Provider)</w:t>
      </w:r>
    </w:p>
    <w:p>
      <w:pPr>
        <w:pStyle w:val="FirstParagraph"/>
      </w:pPr>
      <w:r>
        <w:rPr>
          <w:bCs/>
          <w:b/>
        </w:rPr>
        <w:t xml:space="preserve">Kenta Yamamoto Design Studio</w:t>
      </w:r>
    </w:p>
    <w:p>
      <w:pPr>
        <w:pStyle w:val="BodyText"/>
      </w:pPr>
      <w:r>
        <w:t xml:space="preserve">UX UI Designer – Senior Consultant</w:t>
      </w:r>
    </w:p>
    <w:p>
      <w:pPr>
        <w:pStyle w:val="BodyText"/>
      </w:pPr>
      <w:r>
        <w:t xml:space="preserve">2-14-8 Dotonbori, Chuo-ku</w:t>
      </w:r>
    </w:p>
    <w:p>
      <w:pPr>
        <w:pStyle w:val="BodyText"/>
      </w:pPr>
      <w:r>
        <w:t xml:space="preserve">Japan Osaka 542-0071</w:t>
      </w:r>
    </w:p>
    <w:p>
      <w:pPr>
        <w:pStyle w:val="BodyText"/>
      </w:pPr>
      <w:r>
        <w:t xml:space="preserve">Email: kenta.yamamoto@kydesign.jp</w:t>
      </w:r>
    </w:p>
    <w:p>
      <w:pPr>
        <w:pStyle w:val="BodyText"/>
      </w:pPr>
      <w:r>
        <w:t xml:space="preserve">Phone: +81-6-6210-4587</w:t>
      </w:r>
    </w:p>
    <w:p>
      <w:pPr>
        <w:pStyle w:val="BodyText"/>
      </w:pPr>
      <w:r>
        <w:t xml:space="preserve">Corporate Tax ID: 81200001234567</w:t>
      </w:r>
    </w:p>
    <w:bookmarkEnd w:id="21"/>
    <w:bookmarkStart w:id="22" w:name="billed-to-client"/>
    <w:p>
      <w:pPr>
        <w:pStyle w:val="Heading3"/>
      </w:pPr>
      <w:r>
        <w:t xml:space="preserve">Billed To (Client)</w:t>
      </w:r>
    </w:p>
    <w:p>
      <w:pPr>
        <w:pStyle w:val="FirstParagraph"/>
      </w:pPr>
      <w:r>
        <w:rPr>
          <w:bCs/>
          <w:b/>
        </w:rPr>
        <w:t xml:space="preserve">Osaka Digital Commerce Co., Ltd.</w:t>
      </w:r>
    </w:p>
    <w:p>
      <w:pPr>
        <w:pStyle w:val="BodyText"/>
      </w:pPr>
      <w:r>
        <w:t xml:space="preserve">Attn: Mr. Hiroshi Tanaka, CTO</w:t>
      </w:r>
    </w:p>
    <w:p>
      <w:pPr>
        <w:pStyle w:val="BodyText"/>
      </w:pPr>
      <w:r>
        <w:t xml:space="preserve">15-3 Umeda, Kita-ku</w:t>
      </w:r>
    </w:p>
    <w:p>
      <w:pPr>
        <w:pStyle w:val="BodyText"/>
      </w:pPr>
      <w:r>
        <w:t xml:space="preserve">Japan Osaka 530-0001</w:t>
      </w:r>
    </w:p>
    <w:p>
      <w:pPr>
        <w:pStyle w:val="BodyText"/>
      </w:pPr>
      <w:r>
        <w:t xml:space="preserve">Email: h.tanaka@osakadigital.jp</w:t>
      </w:r>
    </w:p>
    <w:p>
      <w:pPr>
        <w:pStyle w:val="BodyText"/>
      </w:pPr>
      <w:r>
        <w:t xml:space="preserve">Phone: +81-6-6371-2200</w:t>
      </w:r>
    </w:p>
    <w:p>
      <w:pPr>
        <w:pStyle w:val="BodyText"/>
      </w:pPr>
      <w:r>
        <w:t xml:space="preserve">Corporate Tax ID: 81200009876543</w:t>
      </w:r>
    </w:p>
    <w:bookmarkEnd w:id="22"/>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Rate (JPY)</w:t>
            </w:r>
          </w:p>
        </w:tc>
        <w:tc>
          <w:tcPr/>
          <w:p>
            <w:pPr>
              <w:pStyle w:val="Compact"/>
              <w:jc w:val="left"/>
            </w:pPr>
            <w:r>
              <w:t xml:space="preserve">Hours</w:t>
            </w:r>
          </w:p>
        </w:tc>
        <w:tc>
          <w:tcPr/>
          <w:p>
            <w:pPr>
              <w:pStyle w:val="Compact"/>
              <w:jc w:val="left"/>
            </w:pPr>
            <w:r>
              <w:t xml:space="preserve">Qty</w:t>
            </w:r>
          </w:p>
        </w:tc>
        <w:tc>
          <w:tcPr/>
          <w:p>
            <w:pPr>
              <w:pStyle w:val="Compact"/>
              <w:jc w:val="left"/>
            </w:pPr>
            <w:r>
              <w:t xml:space="preserve">Amount (JPY)</w:t>
            </w:r>
          </w:p>
        </w:tc>
      </w:tr>
      <w:tr>
        <w:tc>
          <w:tcPr/>
          <w:p>
            <w:pPr>
              <w:pStyle w:val="Compact"/>
              <w:jc w:val="left"/>
            </w:pPr>
            <w:r>
              <w:t xml:space="preserve">1</w:t>
            </w:r>
          </w:p>
        </w:tc>
        <w:tc>
          <w:tcPr/>
          <w:p>
            <w:pPr>
              <w:pStyle w:val="Compact"/>
              <w:jc w:val="left"/>
            </w:pPr>
            <w:r>
              <w:rPr>
                <w:bCs/>
                <w:b/>
              </w:rPr>
              <w:t xml:space="preserve">UX Research &amp; User Journey Mapping</w:t>
            </w:r>
            <w:r>
              <w:br/>
            </w:r>
            <w:r>
              <w:t xml:space="preserve">Conducted in-depth user interviews with 25 participants in Japan Osaka. Developed comprehensive user personas and journey maps for the e-commerce platform redesign.</w:t>
            </w:r>
          </w:p>
        </w:tc>
        <w:tc>
          <w:tcPr/>
          <w:p>
            <w:pPr>
              <w:pStyle w:val="Compact"/>
              <w:jc w:val="left"/>
            </w:pPr>
            <w:r>
              <w:t xml:space="preserve">12,000</w:t>
            </w:r>
          </w:p>
        </w:tc>
        <w:tc>
          <w:tcPr/>
          <w:p>
            <w:pPr>
              <w:pStyle w:val="Compact"/>
              <w:jc w:val="left"/>
            </w:pPr>
            <w:r>
              <w:t xml:space="preserve">40</w:t>
            </w:r>
          </w:p>
        </w:tc>
        <w:tc>
          <w:tcPr/>
          <w:p>
            <w:pPr>
              <w:pStyle w:val="Compact"/>
              <w:jc w:val="left"/>
            </w:pPr>
            <w:r>
              <w:t xml:space="preserve">1</w:t>
            </w:r>
          </w:p>
        </w:tc>
        <w:tc>
          <w:tcPr/>
          <w:p>
            <w:pPr>
              <w:pStyle w:val="Compact"/>
              <w:jc w:val="left"/>
            </w:pPr>
            <w:r>
              <w:t xml:space="preserve">480,000</w:t>
            </w:r>
          </w:p>
        </w:tc>
      </w:tr>
      <w:tr>
        <w:tc>
          <w:tcPr/>
          <w:p>
            <w:pPr>
              <w:pStyle w:val="Compact"/>
              <w:jc w:val="left"/>
            </w:pPr>
            <w:r>
              <w:t xml:space="preserve">2</w:t>
            </w:r>
          </w:p>
        </w:tc>
        <w:tc>
          <w:tcPr/>
          <w:p>
            <w:pPr>
              <w:pStyle w:val="Compact"/>
              <w:jc w:val="left"/>
            </w:pPr>
            <w:r>
              <w:rPr>
                <w:bCs/>
                <w:b/>
              </w:rPr>
              <w:t xml:space="preserve">UI Design System Development</w:t>
            </w:r>
            <w:r>
              <w:br/>
            </w:r>
            <w:r>
              <w:t xml:space="preserve">Created a scalable UI design system including 120+ components, color palettes, typography guidelines, and interaction patterns tailored for the Japan Osaka market preferences.</w:t>
            </w:r>
          </w:p>
        </w:tc>
        <w:tc>
          <w:tcPr/>
          <w:p>
            <w:pPr>
              <w:pStyle w:val="Compact"/>
              <w:jc w:val="left"/>
            </w:pPr>
            <w:r>
              <w:t xml:space="preserve">14,000</w:t>
            </w:r>
          </w:p>
        </w:tc>
        <w:tc>
          <w:tcPr/>
          <w:p>
            <w:pPr>
              <w:pStyle w:val="Compact"/>
              <w:jc w:val="left"/>
            </w:pPr>
            <w:r>
              <w:t xml:space="preserve">60</w:t>
            </w:r>
          </w:p>
        </w:tc>
        <w:tc>
          <w:tcPr/>
          <w:p>
            <w:pPr>
              <w:pStyle w:val="Compact"/>
              <w:jc w:val="left"/>
            </w:pPr>
            <w:r>
              <w:t xml:space="preserve">1</w:t>
            </w:r>
          </w:p>
        </w:tc>
        <w:tc>
          <w:tcPr/>
          <w:p>
            <w:pPr>
              <w:pStyle w:val="Compact"/>
              <w:jc w:val="left"/>
            </w:pPr>
            <w:r>
              <w:t xml:space="preserve">840,000</w:t>
            </w:r>
          </w:p>
        </w:tc>
      </w:tr>
      <w:tr>
        <w:tc>
          <w:tcPr/>
          <w:p>
            <w:pPr>
              <w:pStyle w:val="Compact"/>
              <w:jc w:val="left"/>
            </w:pPr>
            <w:r>
              <w:t xml:space="preserve">3</w:t>
            </w:r>
          </w:p>
        </w:tc>
        <w:tc>
          <w:tcPr/>
          <w:p>
            <w:pPr>
              <w:pStyle w:val="Compact"/>
              <w:jc w:val="left"/>
            </w:pPr>
            <w:r>
              <w:rPr>
                <w:bCs/>
                <w:b/>
              </w:rPr>
              <w:t xml:space="preserve">Wireframing &amp; Prototyping</w:t>
            </w:r>
            <w:r>
              <w:br/>
            </w:r>
            <w:r>
              <w:t xml:space="preserve">Designed low-fidelity wireframes and high-fidelity interactive prototypes for 35+ screens. Conducted 3 rounds of usability testing sessions in Japan Osaka.</w:t>
            </w:r>
          </w:p>
        </w:tc>
        <w:tc>
          <w:tcPr/>
          <w:p>
            <w:pPr>
              <w:pStyle w:val="Compact"/>
              <w:jc w:val="left"/>
            </w:pPr>
            <w:r>
              <w:t xml:space="preserve">11,000</w:t>
            </w:r>
          </w:p>
        </w:tc>
        <w:tc>
          <w:tcPr/>
          <w:p>
            <w:pPr>
              <w:pStyle w:val="Compact"/>
              <w:jc w:val="left"/>
            </w:pPr>
            <w:r>
              <w:t xml:space="preserve">48</w:t>
            </w:r>
          </w:p>
        </w:tc>
        <w:tc>
          <w:tcPr/>
          <w:p>
            <w:pPr>
              <w:pStyle w:val="Compact"/>
              <w:jc w:val="left"/>
            </w:pPr>
            <w:r>
              <w:t xml:space="preserve">1</w:t>
            </w:r>
          </w:p>
        </w:tc>
        <w:tc>
          <w:tcPr/>
          <w:p>
            <w:pPr>
              <w:pStyle w:val="Compact"/>
              <w:jc w:val="left"/>
            </w:pPr>
            <w:r>
              <w:t xml:space="preserve">528,000</w:t>
            </w:r>
          </w:p>
        </w:tc>
      </w:tr>
      <w:tr>
        <w:tc>
          <w:tcPr/>
          <w:p>
            <w:pPr>
              <w:pStyle w:val="Compact"/>
              <w:jc w:val="left"/>
            </w:pPr>
            <w:r>
              <w:t xml:space="preserve">4</w:t>
            </w:r>
          </w:p>
        </w:tc>
        <w:tc>
          <w:tcPr/>
          <w:p>
            <w:pPr>
              <w:pStyle w:val="Compact"/>
              <w:jc w:val="left"/>
            </w:pPr>
            <w:r>
              <w:rPr>
                <w:bCs/>
                <w:b/>
              </w:rPr>
              <w:t xml:space="preserve">Responsive Web &amp; Mobile UI Design</w:t>
            </w:r>
            <w:r>
              <w:br/>
            </w:r>
            <w:r>
              <w:t xml:space="preserve">Delivered pixel-perfect responsive UI designs for desktop, tablet, and mobile breakpoints. Ensured accessibility compliance (WCAG 2.1 AA) for all Japan Osaka user demographics.</w:t>
            </w:r>
          </w:p>
        </w:tc>
        <w:tc>
          <w:tcPr/>
          <w:p>
            <w:pPr>
              <w:pStyle w:val="Compact"/>
              <w:jc w:val="left"/>
            </w:pPr>
            <w:r>
              <w:t xml:space="preserve">13,000</w:t>
            </w:r>
          </w:p>
        </w:tc>
        <w:tc>
          <w:tcPr/>
          <w:p>
            <w:pPr>
              <w:pStyle w:val="Compact"/>
              <w:jc w:val="left"/>
            </w:pPr>
            <w:r>
              <w:t xml:space="preserve">52</w:t>
            </w:r>
          </w:p>
        </w:tc>
        <w:tc>
          <w:tcPr/>
          <w:p>
            <w:pPr>
              <w:pStyle w:val="Compact"/>
              <w:jc w:val="left"/>
            </w:pPr>
            <w:r>
              <w:t xml:space="preserve">1</w:t>
            </w:r>
          </w:p>
        </w:tc>
        <w:tc>
          <w:tcPr/>
          <w:p>
            <w:pPr>
              <w:pStyle w:val="Compact"/>
              <w:jc w:val="left"/>
            </w:pPr>
            <w:r>
              <w:t xml:space="preserve">676,000</w:t>
            </w:r>
          </w:p>
        </w:tc>
      </w:tr>
      <w:tr>
        <w:tc>
          <w:tcPr/>
          <w:p>
            <w:pPr>
              <w:pStyle w:val="Compact"/>
              <w:jc w:val="left"/>
            </w:pPr>
            <w:r>
              <w:t xml:space="preserve">5</w:t>
            </w:r>
          </w:p>
        </w:tc>
        <w:tc>
          <w:tcPr/>
          <w:p>
            <w:pPr>
              <w:pStyle w:val="Compact"/>
              <w:jc w:val="left"/>
            </w:pPr>
            <w:r>
              <w:rPr>
                <w:bCs/>
                <w:b/>
              </w:rPr>
              <w:t xml:space="preserve">Design Handoff &amp; Developer Collaboration</w:t>
            </w:r>
            <w:r>
              <w:br/>
            </w:r>
            <w:r>
              <w:t xml:space="preserve">Prepared comprehensive design specifications, annotated Figma files, and conducted 6 handoff meetings with the development team. Provided ongoing UX UI Designer support during sprint cycles.</w:t>
            </w:r>
          </w:p>
        </w:tc>
        <w:tc>
          <w:tcPr/>
          <w:p>
            <w:pPr>
              <w:pStyle w:val="Compact"/>
              <w:jc w:val="left"/>
            </w:pPr>
            <w:r>
              <w:t xml:space="preserve">10,000</w:t>
            </w:r>
          </w:p>
        </w:tc>
        <w:tc>
          <w:tcPr/>
          <w:p>
            <w:pPr>
              <w:pStyle w:val="Compact"/>
              <w:jc w:val="left"/>
            </w:pPr>
            <w:r>
              <w:t xml:space="preserve">24</w:t>
            </w:r>
          </w:p>
        </w:tc>
        <w:tc>
          <w:tcPr/>
          <w:p>
            <w:pPr>
              <w:pStyle w:val="Compact"/>
              <w:jc w:val="left"/>
            </w:pPr>
            <w:r>
              <w:t xml:space="preserve">1</w:t>
            </w:r>
          </w:p>
        </w:tc>
        <w:tc>
          <w:tcPr/>
          <w:p>
            <w:pPr>
              <w:pStyle w:val="Compact"/>
              <w:jc w:val="left"/>
            </w:pPr>
            <w:r>
              <w:t xml:space="preserve">240,000</w:t>
            </w:r>
          </w:p>
        </w:tc>
      </w:tr>
      <w:tr>
        <w:tc>
          <w:tcPr/>
          <w:p>
            <w:pPr>
              <w:pStyle w:val="Compact"/>
              <w:jc w:val="left"/>
            </w:pPr>
            <w:r>
              <w:t xml:space="preserve">6</w:t>
            </w:r>
          </w:p>
        </w:tc>
        <w:tc>
          <w:tcPr/>
          <w:p>
            <w:pPr>
              <w:pStyle w:val="Compact"/>
              <w:jc w:val="left"/>
            </w:pPr>
            <w:r>
              <w:rPr>
                <w:bCs/>
                <w:b/>
              </w:rPr>
              <w:t xml:space="preserve">Post-Launch UX Audit &amp; Optimization</w:t>
            </w:r>
            <w:r>
              <w:br/>
            </w:r>
            <w:r>
              <w:t xml:space="preserve">Performed a full UX audit two weeks after platform launch in Japan Osaka. Identified 18 friction points and delivered an optimization roadmap with prioritized fixes.</w:t>
            </w:r>
          </w:p>
        </w:tc>
        <w:tc>
          <w:tcPr/>
          <w:p>
            <w:pPr>
              <w:pStyle w:val="Compact"/>
              <w:jc w:val="left"/>
            </w:pPr>
            <w:r>
              <w:t xml:space="preserve">12,500</w:t>
            </w:r>
          </w:p>
        </w:tc>
        <w:tc>
          <w:tcPr/>
          <w:p>
            <w:pPr>
              <w:pStyle w:val="Compact"/>
              <w:jc w:val="left"/>
            </w:pPr>
            <w:r>
              <w:t xml:space="preserve">20</w:t>
            </w:r>
          </w:p>
        </w:tc>
        <w:tc>
          <w:tcPr/>
          <w:p>
            <w:pPr>
              <w:pStyle w:val="Compact"/>
              <w:jc w:val="left"/>
            </w:pPr>
            <w:r>
              <w:t xml:space="preserve">1</w:t>
            </w:r>
          </w:p>
        </w:tc>
        <w:tc>
          <w:tcPr/>
          <w:p>
            <w:pPr>
              <w:pStyle w:val="Compact"/>
              <w:jc w:val="left"/>
            </w:pPr>
            <w:r>
              <w:t xml:space="preserve">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3,014,000 JPY</w:t>
            </w:r>
          </w:p>
        </w:tc>
      </w:tr>
      <w:tr>
        <w:tc>
          <w:tcPr/>
          <w:p>
            <w:pPr>
              <w:pStyle w:val="Compact"/>
              <w:jc w:val="left"/>
            </w:pPr>
            <w:r>
              <w:t xml:space="preserve">Consumption Tax (10%)</w:t>
            </w:r>
          </w:p>
        </w:tc>
        <w:tc>
          <w:tcPr/>
          <w:p>
            <w:pPr>
              <w:pStyle w:val="Compact"/>
              <w:jc w:val="left"/>
            </w:pPr>
            <w:r>
              <w:t xml:space="preserve">301,400 JPY</w:t>
            </w:r>
          </w:p>
        </w:tc>
      </w:tr>
      <w:tr>
        <w:tc>
          <w:tcPr/>
          <w:p>
            <w:pPr>
              <w:pStyle w:val="Compact"/>
              <w:jc w:val="left"/>
            </w:pPr>
            <w:r>
              <w:t xml:space="preserve">Travel &amp; On-Site Meeting Surcharge (Japan Osaka)</w:t>
            </w:r>
          </w:p>
        </w:tc>
        <w:tc>
          <w:tcPr/>
          <w:p>
            <w:pPr>
              <w:pStyle w:val="Compact"/>
              <w:jc w:val="left"/>
            </w:pPr>
            <w:r>
              <w:t xml:space="preserve">45,000 JPY</w:t>
            </w:r>
          </w:p>
        </w:tc>
      </w:tr>
      <w:tr>
        <w:tc>
          <w:tcPr/>
          <w:p>
            <w:pPr>
              <w:pStyle w:val="Compact"/>
              <w:jc w:val="left"/>
            </w:pPr>
            <w:r>
              <w:t xml:space="preserve">Early Payment Discount (5% if paid before June 30, 2025)</w:t>
            </w:r>
          </w:p>
        </w:tc>
        <w:tc>
          <w:tcPr/>
          <w:p>
            <w:pPr>
              <w:pStyle w:val="Compact"/>
              <w:jc w:val="left"/>
            </w:pPr>
            <w:r>
              <w:t xml:space="preserve">-150,700 JPY</w:t>
            </w:r>
          </w:p>
        </w:tc>
      </w:tr>
      <w:tr>
        <w:tc>
          <w:tcPr/>
          <w:p>
            <w:pPr>
              <w:pStyle w:val="Compact"/>
              <w:jc w:val="left"/>
            </w:pPr>
            <w:r>
              <w:t xml:space="preserve">Grand Total Due</w:t>
            </w:r>
          </w:p>
        </w:tc>
        <w:tc>
          <w:tcPr/>
          <w:p>
            <w:pPr>
              <w:pStyle w:val="Compact"/>
              <w:jc w:val="left"/>
            </w:pPr>
            <w:r>
              <w:t xml:space="preserve">3,209,700 JPY</w:t>
            </w:r>
          </w:p>
        </w:tc>
      </w:tr>
    </w:tbl>
    <w:bookmarkStart w:id="23" w:name="payment-terms-invoice-conditions"/>
    <w:p>
      <w:pPr>
        <w:pStyle w:val="Heading3"/>
      </w:pPr>
      <w:r>
        <w:t xml:space="preserve">Payment Terms &amp; Invoice Conditions</w:t>
      </w:r>
    </w:p>
    <w:p>
      <w:pPr>
        <w:numPr>
          <w:ilvl w:val="0"/>
          <w:numId w:val="1001"/>
        </w:numPr>
        <w:pStyle w:val="Compact"/>
      </w:pPr>
      <w:r>
        <w:rPr>
          <w:bCs/>
          <w:b/>
        </w:rPr>
        <w:t xml:space="preserve">Payment Method:</w:t>
      </w:r>
      <w:r>
        <w:t xml:space="preserve"> </w:t>
      </w:r>
      <w:r>
        <w:t xml:space="preserve">Bank transfer to Mizuho Bank, Osaka Central Branch, Account No. 458-721-0034, Holder: Kenta Yamamoto Design Studio. International wire transfers are also accepted via SWIFT: MHCBJPJT.</w:t>
      </w:r>
    </w:p>
    <w:p>
      <w:pPr>
        <w:numPr>
          <w:ilvl w:val="0"/>
          <w:numId w:val="1001"/>
        </w:numPr>
        <w:pStyle w:val="Compact"/>
      </w:pPr>
      <w:r>
        <w:rPr>
          <w:bCs/>
          <w:b/>
        </w:rPr>
        <w:t xml:space="preserve">Due Date:</w:t>
      </w:r>
      <w:r>
        <w:t xml:space="preserve"> </w:t>
      </w:r>
      <w:r>
        <w:t xml:space="preserve">This invoice is due within 30 days of the invoice date (July 15, 2025). Late payments will incur a 1.5% monthly interest charge as per Japanese commercial practice.</w:t>
      </w:r>
    </w:p>
    <w:p>
      <w:pPr>
        <w:numPr>
          <w:ilvl w:val="0"/>
          <w:numId w:val="1001"/>
        </w:numPr>
        <w:pStyle w:val="Compact"/>
      </w:pPr>
      <w:r>
        <w:rPr>
          <w:bCs/>
          <w:b/>
        </w:rPr>
        <w:t xml:space="preserve">Currency:</w:t>
      </w:r>
      <w:r>
        <w:t xml:space="preserve"> </w:t>
      </w:r>
      <w:r>
        <w:t xml:space="preserve">All amounts are denominated in Japanese Yen (JPY). No currency conversion fees apply for domestic Japan Osaka transactions.</w:t>
      </w:r>
    </w:p>
    <w:p>
      <w:pPr>
        <w:numPr>
          <w:ilvl w:val="0"/>
          <w:numId w:val="1001"/>
        </w:numPr>
        <w:pStyle w:val="Compact"/>
      </w:pPr>
      <w:r>
        <w:rPr>
          <w:bCs/>
          <w:b/>
        </w:rPr>
        <w:t xml:space="preserve">Disputes:</w:t>
      </w:r>
      <w:r>
        <w:t xml:space="preserve"> </w:t>
      </w:r>
      <w:r>
        <w:t xml:space="preserve">Any discrepancies regarding this invoice must be reported in writing within 14 days of receipt. The UX UI Designer and the client agree to resolve any billing disputes through good-faith negotiation in Japan Osaka before pursuing formal arbitration.</w:t>
      </w:r>
    </w:p>
    <w:p>
      <w:pPr>
        <w:numPr>
          <w:ilvl w:val="0"/>
          <w:numId w:val="1001"/>
        </w:numPr>
        <w:pStyle w:val="Compact"/>
      </w:pPr>
      <w:r>
        <w:rPr>
          <w:bCs/>
          <w:b/>
        </w:rPr>
        <w:t xml:space="preserve">Revisions:</w:t>
      </w:r>
      <w:r>
        <w:t xml:space="preserve"> </w:t>
      </w:r>
      <w:r>
        <w:t xml:space="preserve">This invoice covers the scope of work as defined in the Statement of Work dated April 28, 2025. Additional revisions beyond the agreed scope will be invoiced separately at the standard UX UI Designer hourly rate of 12,000 JPY per hour.</w:t>
      </w:r>
    </w:p>
    <w:p>
      <w:pPr>
        <w:numPr>
          <w:ilvl w:val="0"/>
          <w:numId w:val="1001"/>
        </w:numPr>
        <w:pStyle w:val="Compact"/>
      </w:pPr>
      <w:r>
        <w:rPr>
          <w:bCs/>
          <w:b/>
        </w:rPr>
        <w:t xml:space="preserve">Confidentiality:</w:t>
      </w:r>
      <w:r>
        <w:t xml:space="preserve"> </w:t>
      </w:r>
      <w:r>
        <w:t xml:space="preserve">All design assets, user research data, and proprietary information exchanged during this engagement remain the exclusive property of Osaka Digital Commerce Co., Ltd. The UX UI Designer agrees to maintain strict confidentiality in accordance with Japanese Personal Information Protection Law (APPI).</w:t>
      </w:r>
    </w:p>
    <w:bookmarkEnd w:id="23"/>
    <w:bookmarkStart w:id="24" w:name="notes-acknowledgments"/>
    <w:p>
      <w:pPr>
        <w:pStyle w:val="Heading3"/>
      </w:pPr>
      <w:r>
        <w:t xml:space="preserve">Notes &amp; Acknowledgments</w:t>
      </w:r>
    </w:p>
    <w:p>
      <w:pPr>
        <w:pStyle w:val="FirstParagraph"/>
      </w:pPr>
      <w:r>
        <w:t xml:space="preserve">Thank you for engaging Kenta Yamamoto Design Studio as your dedicated UX UI Designer partner for this critical platform transformation project. We are proud to have delivered world-class user experience and interface design solutions tailored specifically for the Japan Osaka market. Our team remains available for ongoing support, future design sprints, and strategic UX consulting engagements throughout the greater Japan Osaka metropolitan area and beyond.</w:t>
      </w:r>
    </w:p>
    <w:p>
      <w:pPr>
        <w:pStyle w:val="BodyText"/>
      </w:pPr>
      <w:r>
        <w:t xml:space="preserve">Please retain this invoice for your corporate tax records. A digital copy has also been sent to your accounts payable department via email. If you require a revised invoice, a detailed itemized breakdown, or a Japanese-language translation of this document, please contact our billing office at billing@kydesign.jp within 7 business days.</w:t>
      </w:r>
    </w:p>
    <w:bookmarkEnd w:id="24"/>
    <w:p>
      <w:pPr>
        <w:pStyle w:val="BodyText"/>
      </w:pPr>
      <w:r>
        <w:rPr>
          <w:bCs/>
          <w:b/>
        </w:rPr>
        <w:t xml:space="preserve">Kenta Yamamoto Design Studio</w:t>
      </w:r>
      <w:r>
        <w:t xml:space="preserve"> </w:t>
      </w:r>
      <w:r>
        <w:t xml:space="preserve">| UX UI Designer Services | Japan Osaka</w:t>
      </w:r>
    </w:p>
    <w:p>
      <w:pPr>
        <w:pStyle w:val="BodyText"/>
      </w:pPr>
      <w:r>
        <w:t xml:space="preserve">2-14-8 Dotonbori, Chuo-ku, Japan Osaka 542-0071 | +81-6-6210-4587 | kenta.yamamoto@kydesign.jp</w:t>
      </w:r>
    </w:p>
    <w:p>
      <w:pPr>
        <w:pStyle w:val="BodyText"/>
      </w:pPr>
      <w:r>
        <w:t xml:space="preserve">This is a computer-generated invoice and does not require a physical signature. Invoice #JPO-2025-0472 | Generated: June 15,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UX UI Designer Services - Japan Osaka</dc:title>
  <dc:creator/>
  <dc:language>en</dc:language>
  <cp:keywords/>
  <dcterms:created xsi:type="dcterms:W3CDTF">2026-10-10T09:14:00Z</dcterms:created>
  <dcterms:modified xsi:type="dcterms:W3CDTF">2026-10-10T09:14:00Z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