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Services</w:t>
      </w:r>
      <w:r>
        <w:t xml:space="preserve"> </w:t>
      </w:r>
      <w:r>
        <w:t xml:space="preserve">-</w:t>
      </w:r>
      <w:r>
        <w:t xml:space="preserve"> </w:t>
      </w:r>
      <w:r>
        <w:t xml:space="preserve">Kazakhstan</w:t>
      </w:r>
      <w:r>
        <w:t xml:space="preserve"> </w:t>
      </w:r>
      <w:r>
        <w:t xml:space="preserve">Almaty</w:t>
      </w:r>
    </w:p>
    <w:p>
      <w:pPr>
        <w:pStyle w:val="FirstParagraph"/>
      </w:pPr>
      <w:r>
        <w:t xml:space="preserve">Invoice</w:t>
      </w:r>
    </w:p>
    <w:p>
      <w:pPr>
        <w:pStyle w:val="BodyText"/>
      </w:pPr>
      <w:r>
        <w:t xml:space="preserve">Professional UX UI Designer Services</w:t>
      </w:r>
    </w:p>
    <w:p>
      <w:pPr>
        <w:pStyle w:val="BodyText"/>
      </w:pPr>
      <w:r>
        <w:rPr>
          <w:bCs/>
          <w:b/>
        </w:rPr>
        <w:t xml:space="preserve">Invoice Number:</w:t>
      </w:r>
      <w:r>
        <w:t xml:space="preserve"> </w:t>
      </w:r>
      <w:r>
        <w:t xml:space="preserve">INV-KZ-2025-0472</w:t>
      </w:r>
    </w:p>
    <w:p>
      <w:pPr>
        <w:pStyle w:val="BodyText"/>
      </w:pPr>
      <w:r>
        <w:rPr>
          <w:bCs/>
          <w:b/>
        </w:rPr>
        <w:t xml:space="preserve">Invoice Date:</w:t>
      </w:r>
      <w:r>
        <w:t xml:space="preserve"> </w:t>
      </w:r>
      <w:r>
        <w:t xml:space="preserve">June 15, 2025</w:t>
      </w:r>
    </w:p>
    <w:p>
      <w:pPr>
        <w:pStyle w:val="BodyText"/>
      </w:pPr>
      <w:r>
        <w:rPr>
          <w:bCs/>
          <w:b/>
        </w:rPr>
        <w:t xml:space="preserve">Due Date:</w:t>
      </w:r>
      <w:r>
        <w:t xml:space="preserve"> </w:t>
      </w:r>
      <w:r>
        <w:t xml:space="preserve">July 15, 2025</w:t>
      </w:r>
    </w:p>
    <w:p>
      <w:pPr>
        <w:pStyle w:val="BodyText"/>
      </w:pPr>
      <w:r>
        <w:rPr>
          <w:bCs/>
          <w:b/>
        </w:rPr>
        <w:t xml:space="preserve">Currency:</w:t>
      </w:r>
      <w:r>
        <w:t xml:space="preserve"> </w:t>
      </w:r>
      <w:r>
        <w:t xml:space="preserve">KZT (Kazakhstani Tenge)</w:t>
      </w:r>
    </w:p>
    <w:bookmarkStart w:id="20" w:name="from-service-provider"/>
    <w:p>
      <w:pPr>
        <w:pStyle w:val="Heading3"/>
      </w:pPr>
      <w:r>
        <w:t xml:space="preserve">From (Service Provider)</w:t>
      </w:r>
    </w:p>
    <w:p>
      <w:pPr>
        <w:pStyle w:val="FirstParagraph"/>
      </w:pPr>
      <w:r>
        <w:rPr>
          <w:bCs/>
          <w:b/>
        </w:rPr>
        <w:t xml:space="preserve">Digital Craft Studio LLP</w:t>
      </w:r>
    </w:p>
    <w:p>
      <w:pPr>
        <w:pStyle w:val="BodyText"/>
      </w:pPr>
      <w:r>
        <w:t xml:space="preserve">145 Abai Avenue, Office 312</w:t>
      </w:r>
    </w:p>
    <w:p>
      <w:pPr>
        <w:pStyle w:val="BodyText"/>
      </w:pPr>
      <w:r>
        <w:t xml:space="preserve">Kazakhstan Almaty, 050040</w:t>
      </w:r>
    </w:p>
    <w:p>
      <w:pPr>
        <w:pStyle w:val="BodyText"/>
      </w:pPr>
      <w:r>
        <w:t xml:space="preserve">Republic of Kazakhstan</w:t>
      </w:r>
    </w:p>
    <w:p>
      <w:pPr>
        <w:pStyle w:val="BodyText"/>
      </w:pPr>
      <w:r>
        <w:t xml:space="preserve">Tax ID (BIN): 990845001234</w:t>
      </w:r>
    </w:p>
    <w:p>
      <w:pPr>
        <w:pStyle w:val="BodyText"/>
      </w:pPr>
      <w:r>
        <w:t xml:space="preserve">Email: billing@digitalcraft.kz</w:t>
      </w:r>
    </w:p>
    <w:p>
      <w:pPr>
        <w:pStyle w:val="BodyText"/>
      </w:pPr>
      <w:r>
        <w:t xml:space="preserve">Phone: +7 (727) 355-88-21</w:t>
      </w:r>
    </w:p>
    <w:bookmarkEnd w:id="20"/>
    <w:bookmarkStart w:id="21" w:name="billed-to-client"/>
    <w:p>
      <w:pPr>
        <w:pStyle w:val="Heading3"/>
      </w:pPr>
      <w:r>
        <w:t xml:space="preserve">Billed To (Client)</w:t>
      </w:r>
    </w:p>
    <w:p>
      <w:pPr>
        <w:pStyle w:val="FirstParagraph"/>
      </w:pPr>
      <w:r>
        <w:rPr>
          <w:bCs/>
          <w:b/>
        </w:rPr>
        <w:t xml:space="preserve">Almaty Tech Ventures JSC</w:t>
      </w:r>
    </w:p>
    <w:p>
      <w:pPr>
        <w:pStyle w:val="BodyText"/>
      </w:pPr>
      <w:r>
        <w:t xml:space="preserve">78 Dostyk Avenue, Floor 14</w:t>
      </w:r>
    </w:p>
    <w:p>
      <w:pPr>
        <w:pStyle w:val="BodyText"/>
      </w:pPr>
      <w:r>
        <w:t xml:space="preserve">Kazakhstan Almaty, 050000</w:t>
      </w:r>
    </w:p>
    <w:p>
      <w:pPr>
        <w:pStyle w:val="BodyText"/>
      </w:pPr>
      <w:r>
        <w:t xml:space="preserve">Republic of Kazakhstan</w:t>
      </w:r>
    </w:p>
    <w:p>
      <w:pPr>
        <w:pStyle w:val="BodyText"/>
      </w:pPr>
      <w:r>
        <w:t xml:space="preserve">Tax ID (BIN): 990712345678</w:t>
      </w:r>
    </w:p>
    <w:p>
      <w:pPr>
        <w:pStyle w:val="BodyText"/>
      </w:pPr>
      <w:r>
        <w:t xml:space="preserve">Email: accounts@altv.kz</w:t>
      </w:r>
    </w:p>
    <w:p>
      <w:pPr>
        <w:pStyle w:val="BodyText"/>
      </w:pPr>
      <w:r>
        <w:t xml:space="preserve">Phone: +7 (727) 290-44-10</w:t>
      </w:r>
    </w:p>
    <w:bookmarkEnd w:id="21"/>
    <w:tbl>
      <w:tblPr>
        <w:tblStyle w:val="Table"/>
        <w:tblW w:type="pct" w:w="500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w:t>
            </w:r>
          </w:p>
        </w:tc>
        <w:tc>
          <w:tcPr/>
          <w:p>
            <w:pPr>
              <w:pStyle w:val="Compact"/>
              <w:jc w:val="left"/>
            </w:pPr>
            <w:r>
              <w:t xml:space="preserve">Description of UX UI Designer Services</w:t>
            </w:r>
          </w:p>
        </w:tc>
        <w:tc>
          <w:tcPr/>
          <w:p>
            <w:pPr>
              <w:pStyle w:val="Compact"/>
              <w:jc w:val="left"/>
            </w:pPr>
            <w:r>
              <w:t xml:space="preserve">Rate (KZT)</w:t>
            </w:r>
          </w:p>
        </w:tc>
        <w:tc>
          <w:tcPr/>
          <w:p>
            <w:pPr>
              <w:pStyle w:val="Compact"/>
              <w:jc w:val="left"/>
            </w:pPr>
            <w:r>
              <w:t xml:space="preserve">Hours</w:t>
            </w:r>
          </w:p>
        </w:tc>
        <w:tc>
          <w:tcPr/>
          <w:p>
            <w:pPr>
              <w:pStyle w:val="Compact"/>
              <w:jc w:val="left"/>
            </w:pPr>
            <w:r>
              <w:t xml:space="preserve">Qty</w:t>
            </w:r>
          </w:p>
        </w:tc>
        <w:tc>
          <w:tcPr/>
          <w:p>
            <w:pPr>
              <w:pStyle w:val="Compact"/>
              <w:jc w:val="left"/>
            </w:pPr>
            <w:r>
              <w:t xml:space="preserve">Amount (KZT)</w:t>
            </w:r>
          </w:p>
        </w:tc>
      </w:tr>
      <w:tr>
        <w:tc>
          <w:tcPr/>
          <w:p>
            <w:pPr>
              <w:pStyle w:val="Compact"/>
              <w:jc w:val="left"/>
            </w:pPr>
            <w:r>
              <w:t xml:space="preserve">1</w:t>
            </w:r>
          </w:p>
        </w:tc>
        <w:tc>
          <w:tcPr/>
          <w:p>
            <w:pPr>
              <w:pStyle w:val="Compact"/>
              <w:jc w:val="left"/>
            </w:pPr>
            <w:r>
              <w:rPr>
                <w:bCs/>
                <w:b/>
              </w:rPr>
              <w:t xml:space="preserve">UX Research &amp; User Journey Mapping</w:t>
            </w:r>
            <w:r>
              <w:br/>
            </w:r>
            <w:r>
              <w:t xml:space="preserve">Comprehensive user research, stakeholder interviews, and journey map development for the Almaty Tech Ventures mobile banking application. Conducted in Kazakhstan Almaty with local user panels.</w:t>
            </w:r>
          </w:p>
        </w:tc>
        <w:tc>
          <w:tcPr/>
          <w:p>
            <w:pPr>
              <w:pStyle w:val="Compact"/>
              <w:jc w:val="left"/>
            </w:pPr>
            <w:r>
              <w:t xml:space="preserve">12,500</w:t>
            </w:r>
          </w:p>
        </w:tc>
        <w:tc>
          <w:tcPr/>
          <w:p>
            <w:pPr>
              <w:pStyle w:val="Compact"/>
              <w:jc w:val="left"/>
            </w:pPr>
            <w:r>
              <w:t xml:space="preserve">48</w:t>
            </w:r>
          </w:p>
        </w:tc>
        <w:tc>
          <w:tcPr/>
          <w:p>
            <w:pPr>
              <w:pStyle w:val="Compact"/>
              <w:jc w:val="left"/>
            </w:pPr>
            <w:r>
              <w:t xml:space="preserve">1</w:t>
            </w:r>
          </w:p>
        </w:tc>
        <w:tc>
          <w:tcPr/>
          <w:p>
            <w:pPr>
              <w:pStyle w:val="Compact"/>
              <w:jc w:val="left"/>
            </w:pPr>
            <w:r>
              <w:t xml:space="preserve">600,000</w:t>
            </w:r>
          </w:p>
        </w:tc>
      </w:tr>
      <w:tr>
        <w:tc>
          <w:tcPr/>
          <w:p>
            <w:pPr>
              <w:pStyle w:val="Compact"/>
              <w:jc w:val="left"/>
            </w:pPr>
            <w:r>
              <w:t xml:space="preserve">2</w:t>
            </w:r>
          </w:p>
        </w:tc>
        <w:tc>
          <w:tcPr/>
          <w:p>
            <w:pPr>
              <w:pStyle w:val="Compact"/>
              <w:jc w:val="left"/>
            </w:pPr>
            <w:r>
              <w:rPr>
                <w:bCs/>
                <w:b/>
              </w:rPr>
              <w:t xml:space="preserve">UI Design System &amp; Component Library</w:t>
            </w:r>
            <w:r>
              <w:br/>
            </w:r>
            <w:r>
              <w:t xml:space="preserve">Creation of a scalable, accessible UI design system including 120+ reusable components, design tokens, and documentation. Delivered as Figma files with full handoff specifications for the development team.</w:t>
            </w:r>
          </w:p>
        </w:tc>
        <w:tc>
          <w:tcPr/>
          <w:p>
            <w:pPr>
              <w:pStyle w:val="Compact"/>
              <w:jc w:val="left"/>
            </w:pPr>
            <w:r>
              <w:t xml:space="preserve">14,000</w:t>
            </w:r>
          </w:p>
        </w:tc>
        <w:tc>
          <w:tcPr/>
          <w:p>
            <w:pPr>
              <w:pStyle w:val="Compact"/>
              <w:jc w:val="left"/>
            </w:pPr>
            <w:r>
              <w:t xml:space="preserve">72</w:t>
            </w:r>
          </w:p>
        </w:tc>
        <w:tc>
          <w:tcPr/>
          <w:p>
            <w:pPr>
              <w:pStyle w:val="Compact"/>
              <w:jc w:val="left"/>
            </w:pPr>
            <w:r>
              <w:t xml:space="preserve">1</w:t>
            </w:r>
          </w:p>
        </w:tc>
        <w:tc>
          <w:tcPr/>
          <w:p>
            <w:pPr>
              <w:pStyle w:val="Compact"/>
              <w:jc w:val="left"/>
            </w:pPr>
            <w:r>
              <w:t xml:space="preserve">1,008,000</w:t>
            </w:r>
          </w:p>
        </w:tc>
      </w:tr>
      <w:tr>
        <w:tc>
          <w:tcPr/>
          <w:p>
            <w:pPr>
              <w:pStyle w:val="Compact"/>
              <w:jc w:val="left"/>
            </w:pPr>
            <w:r>
              <w:t xml:space="preserve">3</w:t>
            </w:r>
          </w:p>
        </w:tc>
        <w:tc>
          <w:tcPr/>
          <w:p>
            <w:pPr>
              <w:pStyle w:val="Compact"/>
              <w:jc w:val="left"/>
            </w:pPr>
            <w:r>
              <w:rPr>
                <w:bCs/>
                <w:b/>
              </w:rPr>
              <w:t xml:space="preserve">Wireframing &amp; Interactive Prototyping</w:t>
            </w:r>
            <w:r>
              <w:br/>
            </w:r>
            <w:r>
              <w:t xml:space="preserve">Low-fidelity wireframes for 35+ screens followed by high-fidelity interactive prototypes. Includes usability testing sessions with 12 participants in Kazakhstan Almaty and iterative refinement based on feedback.</w:t>
            </w:r>
          </w:p>
        </w:tc>
        <w:tc>
          <w:tcPr/>
          <w:p>
            <w:pPr>
              <w:pStyle w:val="Compact"/>
              <w:jc w:val="left"/>
            </w:pPr>
            <w:r>
              <w:t xml:space="preserve">11,000</w:t>
            </w:r>
          </w:p>
        </w:tc>
        <w:tc>
          <w:tcPr/>
          <w:p>
            <w:pPr>
              <w:pStyle w:val="Compact"/>
              <w:jc w:val="left"/>
            </w:pPr>
            <w:r>
              <w:t xml:space="preserve">64</w:t>
            </w:r>
          </w:p>
        </w:tc>
        <w:tc>
          <w:tcPr/>
          <w:p>
            <w:pPr>
              <w:pStyle w:val="Compact"/>
              <w:jc w:val="left"/>
            </w:pPr>
            <w:r>
              <w:t xml:space="preserve">1</w:t>
            </w:r>
          </w:p>
        </w:tc>
        <w:tc>
          <w:tcPr/>
          <w:p>
            <w:pPr>
              <w:pStyle w:val="Compact"/>
              <w:jc w:val="left"/>
            </w:pPr>
            <w:r>
              <w:t xml:space="preserve">704,000</w:t>
            </w:r>
          </w:p>
        </w:tc>
      </w:tr>
      <w:tr>
        <w:tc>
          <w:tcPr/>
          <w:p>
            <w:pPr>
              <w:pStyle w:val="Compact"/>
              <w:jc w:val="left"/>
            </w:pPr>
            <w:r>
              <w:t xml:space="preserve">4</w:t>
            </w:r>
          </w:p>
        </w:tc>
        <w:tc>
          <w:tcPr/>
          <w:p>
            <w:pPr>
              <w:pStyle w:val="Compact"/>
              <w:jc w:val="left"/>
            </w:pPr>
            <w:r>
              <w:rPr>
                <w:bCs/>
                <w:b/>
              </w:rPr>
              <w:t xml:space="preserve">Responsive Web &amp; Mobile Interface Design</w:t>
            </w:r>
            <w:r>
              <w:br/>
            </w:r>
            <w:r>
              <w:t xml:space="preserve">Pixel-perfect UI design for desktop web (1440px), tablet (768px), and mobile (375px) breakpoints. Includes dark mode variants, micro-interactions, and animation specifications for the UX UI Designer deliverables.</w:t>
            </w:r>
          </w:p>
        </w:tc>
        <w:tc>
          <w:tcPr/>
          <w:p>
            <w:pPr>
              <w:pStyle w:val="Compact"/>
              <w:jc w:val="left"/>
            </w:pPr>
            <w:r>
              <w:t xml:space="preserve">13,500</w:t>
            </w:r>
          </w:p>
        </w:tc>
        <w:tc>
          <w:tcPr/>
          <w:p>
            <w:pPr>
              <w:pStyle w:val="Compact"/>
              <w:jc w:val="left"/>
            </w:pPr>
            <w:r>
              <w:t xml:space="preserve">80</w:t>
            </w:r>
          </w:p>
        </w:tc>
        <w:tc>
          <w:tcPr/>
          <w:p>
            <w:pPr>
              <w:pStyle w:val="Compact"/>
              <w:jc w:val="left"/>
            </w:pPr>
            <w:r>
              <w:t xml:space="preserve">1</w:t>
            </w:r>
          </w:p>
        </w:tc>
        <w:tc>
          <w:tcPr/>
          <w:p>
            <w:pPr>
              <w:pStyle w:val="Compact"/>
              <w:jc w:val="left"/>
            </w:pPr>
            <w:r>
              <w:t xml:space="preserve">1,080,000</w:t>
            </w:r>
          </w:p>
        </w:tc>
      </w:tr>
      <w:tr>
        <w:tc>
          <w:tcPr/>
          <w:p>
            <w:pPr>
              <w:pStyle w:val="Compact"/>
              <w:jc w:val="left"/>
            </w:pPr>
            <w:r>
              <w:t xml:space="preserve">5</w:t>
            </w:r>
          </w:p>
        </w:tc>
        <w:tc>
          <w:tcPr/>
          <w:p>
            <w:pPr>
              <w:pStyle w:val="Compact"/>
              <w:jc w:val="left"/>
            </w:pPr>
            <w:r>
              <w:rPr>
                <w:bCs/>
                <w:b/>
              </w:rPr>
              <w:t xml:space="preserve">Usability Testing &amp; Design QA</w:t>
            </w:r>
            <w:r>
              <w:br/>
            </w:r>
            <w:r>
              <w:t xml:space="preserve">Three rounds of moderated usability testing, heuristic evaluation, and design quality assurance. Final design audit report with prioritized recommendations for the Kazakhstan Almaty development sprint team.</w:t>
            </w:r>
          </w:p>
        </w:tc>
        <w:tc>
          <w:tcPr/>
          <w:p>
            <w:pPr>
              <w:pStyle w:val="Compact"/>
              <w:jc w:val="left"/>
            </w:pPr>
            <w:r>
              <w:t xml:space="preserve">10,500</w:t>
            </w:r>
          </w:p>
        </w:tc>
        <w:tc>
          <w:tcPr/>
          <w:p>
            <w:pPr>
              <w:pStyle w:val="Compact"/>
              <w:jc w:val="left"/>
            </w:pPr>
            <w:r>
              <w:t xml:space="preserve">36</w:t>
            </w:r>
          </w:p>
        </w:tc>
        <w:tc>
          <w:tcPr/>
          <w:p>
            <w:pPr>
              <w:pStyle w:val="Compact"/>
              <w:jc w:val="left"/>
            </w:pPr>
            <w:r>
              <w:t xml:space="preserve">1</w:t>
            </w:r>
          </w:p>
        </w:tc>
        <w:tc>
          <w:tcPr/>
          <w:p>
            <w:pPr>
              <w:pStyle w:val="Compact"/>
              <w:jc w:val="left"/>
            </w:pPr>
            <w:r>
              <w:t xml:space="preserve">378,000</w:t>
            </w:r>
          </w:p>
        </w:tc>
      </w:tr>
      <w:tr>
        <w:tc>
          <w:tcPr/>
          <w:p>
            <w:pPr>
              <w:pStyle w:val="Compact"/>
              <w:jc w:val="left"/>
            </w:pPr>
            <w:r>
              <w:t xml:space="preserve">6</w:t>
            </w:r>
          </w:p>
        </w:tc>
        <w:tc>
          <w:tcPr/>
          <w:p>
            <w:pPr>
              <w:pStyle w:val="Compact"/>
              <w:jc w:val="left"/>
            </w:pPr>
            <w:r>
              <w:rPr>
                <w:bCs/>
                <w:b/>
              </w:rPr>
              <w:t xml:space="preserve">Design Handoff &amp; Developer Support</w:t>
            </w:r>
            <w:r>
              <w:br/>
            </w:r>
            <w:r>
              <w:t xml:space="preserve">Complete design-to-development handoff including annotated Figma files, asset exports (SVG, PNG, WebP), CSS variable documentation, and two weeks of ongoing developer support for implementation queries in Kazakhstan Almaty.</w:t>
            </w:r>
          </w:p>
        </w:tc>
        <w:tc>
          <w:tcPr/>
          <w:p>
            <w:pPr>
              <w:pStyle w:val="Compact"/>
              <w:jc w:val="left"/>
            </w:pPr>
            <w:r>
              <w:t xml:space="preserve">9,500</w:t>
            </w:r>
          </w:p>
        </w:tc>
        <w:tc>
          <w:tcPr/>
          <w:p>
            <w:pPr>
              <w:pStyle w:val="Compact"/>
              <w:jc w:val="left"/>
            </w:pPr>
            <w:r>
              <w:t xml:space="preserve">24</w:t>
            </w:r>
          </w:p>
        </w:tc>
        <w:tc>
          <w:tcPr/>
          <w:p>
            <w:pPr>
              <w:pStyle w:val="Compact"/>
              <w:jc w:val="left"/>
            </w:pPr>
            <w:r>
              <w:t xml:space="preserve">1</w:t>
            </w:r>
          </w:p>
        </w:tc>
        <w:tc>
          <w:tcPr/>
          <w:p>
            <w:pPr>
              <w:pStyle w:val="Compact"/>
              <w:jc w:val="left"/>
            </w:pPr>
            <w:r>
              <w:t xml:space="preserve">228,000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4,000,000.00</w:t>
            </w:r>
          </w:p>
        </w:tc>
      </w:tr>
      <w:tr>
        <w:tc>
          <w:tcPr/>
          <w:p>
            <w:pPr>
              <w:pStyle w:val="Compact"/>
              <w:jc w:val="left"/>
            </w:pPr>
            <w:r>
              <w:t xml:space="preserve">VAT (12% - Kazakhstan)</w:t>
            </w:r>
          </w:p>
        </w:tc>
        <w:tc>
          <w:tcPr/>
          <w:p>
            <w:pPr>
              <w:pStyle w:val="Compact"/>
              <w:jc w:val="left"/>
            </w:pPr>
            <w:r>
              <w:t xml:space="preserve">480,000.00</w:t>
            </w:r>
          </w:p>
        </w:tc>
      </w:tr>
      <w:tr>
        <w:tc>
          <w:tcPr/>
          <w:p>
            <w:pPr>
              <w:pStyle w:val="Compact"/>
              <w:jc w:val="left"/>
            </w:pPr>
            <w:r>
              <w:t xml:space="preserve">Discount (Early Payment 5%)</w:t>
            </w:r>
          </w:p>
        </w:tc>
        <w:tc>
          <w:tcPr/>
          <w:p>
            <w:pPr>
              <w:pStyle w:val="Compact"/>
              <w:jc w:val="left"/>
            </w:pPr>
            <w:r>
              <w:t xml:space="preserve">-200,000.00</w:t>
            </w:r>
          </w:p>
        </w:tc>
      </w:tr>
      <w:tr>
        <w:tc>
          <w:tcPr/>
          <w:p>
            <w:pPr>
              <w:pStyle w:val="Compact"/>
              <w:jc w:val="left"/>
            </w:pPr>
            <w:r>
              <w:t xml:space="preserve">Total Due (KZT)</w:t>
            </w:r>
          </w:p>
        </w:tc>
        <w:tc>
          <w:tcPr/>
          <w:p>
            <w:pPr>
              <w:pStyle w:val="Compact"/>
              <w:jc w:val="left"/>
            </w:pPr>
            <w:r>
              <w:t xml:space="preserve">4,280,000.00</w:t>
            </w:r>
          </w:p>
        </w:tc>
      </w:tr>
    </w:tbl>
    <w:bookmarkStart w:id="22" w:name="invoice-notes-terms"/>
    <w:p>
      <w:pPr>
        <w:pStyle w:val="Heading4"/>
      </w:pPr>
      <w:r>
        <w:t xml:space="preserve">Invoice Notes &amp; Terms</w:t>
      </w:r>
    </w:p>
    <w:p>
      <w:pPr>
        <w:pStyle w:val="FirstParagraph"/>
      </w:pPr>
      <w:r>
        <w:t xml:space="preserve">This Invoice is issued by Digital Craft Studio LLP, a registered UX UI Designer service provider operating in Kazakhstan Almaty, in accordance with the Republic of Kazakhstan Tax Code and applicable commercial regulations. All services described herein were performed by a certified UX UI Designer with over eight years of experience in digital product design, specifically tailored to the Kazakhstan Almaty market and its user expectations.</w:t>
      </w:r>
    </w:p>
    <w:p>
      <w:pPr>
        <w:pStyle w:val="BodyText"/>
      </w:pPr>
      <w:r>
        <w:t xml:space="preserve">The total amount of 4,280,000.00 KZT (Four Million Two Hundred Eighty Thousand Tenge) is due within thirty (30) calendar days from the Invoice date. Payment is to be made via bank transfer to the account specified below. Late payments will incur a penalty of 0.1% per day as stipulated in the master service agreement dated March 1, 2025.</w:t>
      </w:r>
    </w:p>
    <w:p>
      <w:pPr>
        <w:pStyle w:val="BodyText"/>
      </w:pPr>
      <w:r>
        <w:t xml:space="preserve">All intellectual property rights for the UX UI Designer deliverables, including but not limited to design files, prototypes, component libraries, and documentation, shall transfer to Almaty Tech Ventures JSC upon full and final payment of this Invoice. The UX UI Designer retains the right to display completed work in a professional portfolio unless otherwise agreed in writing.</w:t>
      </w:r>
    </w:p>
    <w:p>
      <w:pPr>
        <w:pStyle w:val="BodyText"/>
      </w:pPr>
      <w:r>
        <w:t xml:space="preserve">This Invoice is valid for 90 days from the date of issue. Any disputes regarding the scope, quality, or billing of the UX UI Designer services rendered in Kazakhstan Almaty shall be resolved through mediation in Almaty, Kazakhstan, in accordance with Kazakhstani commercial law.</w:t>
      </w:r>
    </w:p>
    <w:bookmarkEnd w:id="22"/>
    <w:bookmarkStart w:id="23" w:name="payment-details"/>
    <w:p>
      <w:pPr>
        <w:pStyle w:val="Heading4"/>
      </w:pPr>
      <w:r>
        <w:t xml:space="preserve">Payment Details</w:t>
      </w:r>
    </w:p>
    <w:p>
      <w:pPr>
        <w:pStyle w:val="FirstParagraph"/>
      </w:pPr>
      <w:r>
        <w:rPr>
          <w:bCs/>
          <w:b/>
        </w:rPr>
        <w:t xml:space="preserve">Bank:</w:t>
      </w:r>
      <w:r>
        <w:t xml:space="preserve"> </w:t>
      </w:r>
      <w:r>
        <w:t xml:space="preserve">Jusan Bank, Kazakhstan Almaty Branch</w:t>
      </w:r>
    </w:p>
    <w:p>
      <w:pPr>
        <w:pStyle w:val="BodyText"/>
      </w:pPr>
      <w:r>
        <w:rPr>
          <w:bCs/>
          <w:b/>
        </w:rPr>
        <w:t xml:space="preserve">Account Name:</w:t>
      </w:r>
      <w:r>
        <w:t xml:space="preserve"> </w:t>
      </w:r>
      <w:r>
        <w:t xml:space="preserve">Digital Craft Studio LLP</w:t>
      </w:r>
    </w:p>
    <w:p>
      <w:pPr>
        <w:pStyle w:val="BodyText"/>
      </w:pPr>
      <w:r>
        <w:rPr>
          <w:bCs/>
          <w:b/>
        </w:rPr>
        <w:t xml:space="preserve">IBAN:</w:t>
      </w:r>
      <w:r>
        <w:t xml:space="preserve"> </w:t>
      </w:r>
      <w:r>
        <w:t xml:space="preserve">KZ85 9900 0000 0000 1234 5678</w:t>
      </w:r>
    </w:p>
    <w:p>
      <w:pPr>
        <w:pStyle w:val="BodyText"/>
      </w:pPr>
      <w:r>
        <w:rPr>
          <w:bCs/>
          <w:b/>
        </w:rPr>
        <w:t xml:space="preserve">BIC/SWIFT:</w:t>
      </w:r>
      <w:r>
        <w:t xml:space="preserve"> </w:t>
      </w:r>
      <w:r>
        <w:t xml:space="preserve">JSANKZKA</w:t>
      </w:r>
    </w:p>
    <w:p>
      <w:pPr>
        <w:pStyle w:val="BodyText"/>
      </w:pPr>
      <w:r>
        <w:rPr>
          <w:bCs/>
          <w:b/>
        </w:rPr>
        <w:t xml:space="preserve">Reference:</w:t>
      </w:r>
      <w:r>
        <w:t xml:space="preserve"> </w:t>
      </w:r>
      <w:r>
        <w:t xml:space="preserve">INV-KZ-2025-0472</w:t>
      </w:r>
    </w:p>
    <w:p>
      <w:pPr>
        <w:pStyle w:val="BodyText"/>
      </w:pPr>
      <w:r>
        <w:rPr>
          <w:bCs/>
          <w:b/>
        </w:rPr>
        <w:t xml:space="preserve">Payment Method:</w:t>
      </w:r>
      <w:r>
        <w:t xml:space="preserve"> </w:t>
      </w:r>
      <w:r>
        <w:t xml:space="preserve">Bank Transfer (KZT only)</w:t>
      </w:r>
    </w:p>
    <w:bookmarkEnd w:id="23"/>
    <w:p>
      <w:pPr>
        <w:pStyle w:val="BodyText"/>
      </w:pPr>
      <w:r>
        <w:t xml:space="preserve">Thank you for your business. This Invoice was generated by Digital Craft Studio LLP, your trusted UX UI Designer partner in Kazakhstan Almaty.</w:t>
      </w:r>
    </w:p>
    <w:p>
      <w:pPr>
        <w:pStyle w:val="BodyText"/>
      </w:pPr>
      <w:r>
        <w:t xml:space="preserve">For questions regarding this Invoice or your UX UI Designer project, please contact billing@digitalcraft.kz or call +7 (727) 355-88-21.</w:t>
      </w:r>
    </w:p>
    <w:p>
      <w:pPr>
        <w:pStyle w:val="BodyText"/>
      </w:pPr>
      <w:r>
        <w:t xml:space="preserve">© 2025 Digital Craft Studio LLP | Kazakhstan Almaty |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UX UI Designer Services - Kazakhstan Almaty</dc:title>
  <dc:creator/>
  <dc:language>en</dc:language>
  <cp:keywords/>
  <dcterms:created xsi:type="dcterms:W3CDTF">2026-10-10T12:43:41Z</dcterms:created>
  <dcterms:modified xsi:type="dcterms:W3CDTF">2026-10-10T12:43:41Z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