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UX UI Designer Services</w:t>
      </w:r>
    </w:p>
    <w:p>
      <w:pPr>
        <w:pStyle w:val="BodyText"/>
      </w:pPr>
      <w:r>
        <w:t xml:space="preserve">Morocco Casablanca — Digital Design &amp; User Experience</w:t>
      </w:r>
    </w:p>
    <w:p>
      <w:pPr>
        <w:pStyle w:val="BodyText"/>
      </w:pPr>
      <w:r>
        <w:rPr>
          <w:bCs/>
          <w:b/>
        </w:rPr>
        <w:t xml:space="preserve">Invoice Number:</w:t>
      </w:r>
      <w:r>
        <w:t xml:space="preserve"> </w:t>
      </w:r>
      <w:r>
        <w:t xml:space="preserve">INV-2025-CAS-0047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Morocco Casablanca</w:t>
      </w:r>
    </w:p>
    <w:bookmarkStart w:id="20" w:name="from-service-provider"/>
    <w:p>
      <w:pPr>
        <w:pStyle w:val="Heading3"/>
      </w:pPr>
      <w:r>
        <w:t xml:space="preserve">From (Service Provider)</w:t>
      </w:r>
    </w:p>
    <w:p>
      <w:pPr>
        <w:pStyle w:val="FirstParagraph"/>
      </w:pPr>
      <w:r>
        <w:rPr>
          <w:bCs/>
          <w:b/>
        </w:rPr>
        <w:t xml:space="preserve">Yassine El Amrani</w:t>
      </w:r>
    </w:p>
    <w:p>
      <w:pPr>
        <w:pStyle w:val="BodyText"/>
      </w:pPr>
      <w:r>
        <w:t xml:space="preserve">UX UI Designer — Independent Professional</w:t>
      </w:r>
    </w:p>
    <w:p>
      <w:pPr>
        <w:pStyle w:val="BodyText"/>
      </w:pPr>
      <w:r>
        <w:t xml:space="preserve">124, Boulevard Mohammed V, 4th Floor</w:t>
      </w:r>
    </w:p>
    <w:p>
      <w:pPr>
        <w:pStyle w:val="BodyText"/>
      </w:pPr>
      <w:r>
        <w:t xml:space="preserve">Casablanca 20250, Morocco</w:t>
      </w:r>
    </w:p>
    <w:p>
      <w:pPr>
        <w:pStyle w:val="BodyText"/>
      </w:pPr>
      <w:r>
        <w:t xml:space="preserve">Tel: +212 5 22 45 67 89</w:t>
      </w:r>
    </w:p>
    <w:p>
      <w:pPr>
        <w:pStyle w:val="BodyText"/>
      </w:pPr>
      <w:r>
        <w:t xml:space="preserve">Email: yassine.elamrani@uxdesign.ma</w:t>
      </w:r>
    </w:p>
    <w:p>
      <w:pPr>
        <w:pStyle w:val="BodyText"/>
      </w:pPr>
      <w:r>
        <w:t xml:space="preserve">ICE: 002456789012345</w:t>
      </w:r>
    </w:p>
    <w:p>
      <w:pPr>
        <w:pStyle w:val="BodyText"/>
      </w:pPr>
      <w:r>
        <w:t xml:space="preserve">IF: 45678901</w:t>
      </w:r>
    </w:p>
    <w:bookmarkEnd w:id="20"/>
    <w:bookmarkStart w:id="21" w:name="to-client"/>
    <w:p>
      <w:pPr>
        <w:pStyle w:val="Heading3"/>
      </w:pPr>
      <w:r>
        <w:t xml:space="preserve">To (Client)</w:t>
      </w:r>
    </w:p>
    <w:p>
      <w:pPr>
        <w:pStyle w:val="FirstParagraph"/>
      </w:pPr>
      <w:r>
        <w:rPr>
          <w:bCs/>
          <w:b/>
        </w:rPr>
        <w:t xml:space="preserve">Atlas Digital Solutions SARL</w:t>
      </w:r>
    </w:p>
    <w:p>
      <w:pPr>
        <w:pStyle w:val="BodyText"/>
      </w:pPr>
      <w:r>
        <w:t xml:space="preserve">Attn: Mr. Karim Benjelloun, CEO</w:t>
      </w:r>
    </w:p>
    <w:p>
      <w:pPr>
        <w:pStyle w:val="BodyText"/>
      </w:pPr>
      <w:r>
        <w:t xml:space="preserve">87, Avenue Hassan II, Anfa District</w:t>
      </w:r>
    </w:p>
    <w:p>
      <w:pPr>
        <w:pStyle w:val="BodyText"/>
      </w:pPr>
      <w:r>
        <w:t xml:space="preserve">Casablanca 20100, Morocco</w:t>
      </w:r>
    </w:p>
    <w:p>
      <w:pPr>
        <w:pStyle w:val="BodyText"/>
      </w:pPr>
      <w:r>
        <w:t xml:space="preserve">Tel: +212 5 22 33 44 55</w:t>
      </w:r>
    </w:p>
    <w:p>
      <w:pPr>
        <w:pStyle w:val="BodyText"/>
      </w:pPr>
      <w:r>
        <w:t xml:space="preserve">Email: procurement@atlasdigital.ma</w:t>
      </w:r>
    </w:p>
    <w:p>
      <w:pPr>
        <w:pStyle w:val="BodyText"/>
      </w:pPr>
      <w:r>
        <w:t xml:space="preserve">RC: 456789 Casablanca</w:t>
      </w:r>
    </w:p>
    <w:p>
      <w:pPr>
        <w:pStyle w:val="BodyText"/>
      </w:pPr>
      <w:r>
        <w:t xml:space="preserve">IF: 98765432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Amount (MAD)</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UX Research &amp; User Persona Development for E-Commerce Platform — Comprehensive user interviews, competitive analysis, and persona mapping conducted in Morocco Casablanca market context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Research Report</w:t>
            </w:r>
          </w:p>
        </w:tc>
      </w:tr>
      <w:tr>
        <w:tc>
          <w:tcPr/>
          <w:p>
            <w:pPr>
              <w:pStyle w:val="Compact"/>
              <w:jc w:val="left"/>
            </w:pPr>
            <w:r>
              <w:t xml:space="preserve">2</w:t>
            </w:r>
          </w:p>
        </w:tc>
        <w:tc>
          <w:tcPr/>
          <w:p>
            <w:pPr>
              <w:pStyle w:val="Compact"/>
              <w:jc w:val="left"/>
            </w:pPr>
            <w:r>
              <w:t xml:space="preserve">UI Wireframing &amp; Information Architecture — Low-fidelity and mid-fidelity wireframes for 25+ screens including mobile and desktop responsive layouts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Figma Files</w:t>
            </w:r>
          </w:p>
        </w:tc>
      </w:tr>
      <w:tr>
        <w:tc>
          <w:tcPr/>
          <w:p>
            <w:pPr>
              <w:pStyle w:val="Compact"/>
              <w:jc w:val="left"/>
            </w:pPr>
            <w:r>
              <w:t xml:space="preserve">3</w:t>
            </w:r>
          </w:p>
        </w:tc>
        <w:tc>
          <w:tcPr/>
          <w:p>
            <w:pPr>
              <w:pStyle w:val="Compact"/>
              <w:jc w:val="left"/>
            </w:pPr>
            <w:r>
              <w:t xml:space="preserve">High-Fidelity UI Design &amp; Design System Creation — Complete visual design system with color palette, typography, component library, and interactive prototypes tailored to Moroccan user preferences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Design System</w:t>
            </w:r>
          </w:p>
        </w:tc>
      </w:tr>
      <w:tr>
        <w:tc>
          <w:tcPr/>
          <w:p>
            <w:pPr>
              <w:pStyle w:val="Compact"/>
              <w:jc w:val="left"/>
            </w:pPr>
            <w:r>
              <w:t xml:space="preserve">4</w:t>
            </w:r>
          </w:p>
        </w:tc>
        <w:tc>
          <w:tcPr/>
          <w:p>
            <w:pPr>
              <w:pStyle w:val="Compact"/>
              <w:jc w:val="left"/>
            </w:pPr>
            <w:r>
              <w:t xml:space="preserve">Usability Testing &amp; Iteration (2 Cycles) — Moderated usability testing sessions with 12 participants in Morocco Casablanca, followed by design refinements and A/B testing recommendations</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Test Reports</w:t>
            </w:r>
          </w:p>
        </w:tc>
      </w:tr>
      <w:tr>
        <w:tc>
          <w:tcPr/>
          <w:p>
            <w:pPr>
              <w:pStyle w:val="Compact"/>
              <w:jc w:val="left"/>
            </w:pPr>
            <w:r>
              <w:t xml:space="preserve">5</w:t>
            </w:r>
          </w:p>
        </w:tc>
        <w:tc>
          <w:tcPr/>
          <w:p>
            <w:pPr>
              <w:pStyle w:val="Compact"/>
              <w:jc w:val="left"/>
            </w:pPr>
            <w:r>
              <w:t xml:space="preserve">Developer Handoff &amp; Design QA — Annotated design specifications, asset exports, and two rounds of quality assurance review during development phase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Spec Documents</w:t>
            </w:r>
          </w:p>
        </w:tc>
      </w:tr>
      <w:tr>
        <w:tc>
          <w:tcPr/>
          <w:p>
            <w:pPr>
              <w:pStyle w:val="Compact"/>
              <w:jc w:val="left"/>
            </w:pPr>
            <w:r>
              <w:t xml:space="preserve">6</w:t>
            </w:r>
          </w:p>
        </w:tc>
        <w:tc>
          <w:tcPr/>
          <w:p>
            <w:pPr>
              <w:pStyle w:val="Compact"/>
              <w:jc w:val="left"/>
            </w:pPr>
            <w:r>
              <w:t xml:space="preserve">Post-Launch UX Audit &amp; Optimization Recommendations — 30-day post-launch performance monitoring, heatmap analysis, and strategic UX improvement roadmap</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Audit Report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120,000.00 MAD</w:t>
            </w:r>
          </w:p>
        </w:tc>
      </w:tr>
      <w:tr>
        <w:tc>
          <w:tcPr/>
          <w:p>
            <w:pPr>
              <w:pStyle w:val="Compact"/>
              <w:jc w:val="left"/>
            </w:pPr>
            <w:r>
              <w:t xml:space="preserve">VAT (20% — Moroccan Tax Law)</w:t>
            </w:r>
          </w:p>
        </w:tc>
        <w:tc>
          <w:tcPr/>
          <w:p>
            <w:pPr>
              <w:pStyle w:val="Compact"/>
              <w:jc w:val="right"/>
            </w:pPr>
            <w:r>
              <w:t xml:space="preserve">24,000.00 MAD</w:t>
            </w:r>
          </w:p>
        </w:tc>
      </w:tr>
      <w:tr>
        <w:tc>
          <w:tcPr/>
          <w:p>
            <w:pPr>
              <w:pStyle w:val="Compact"/>
              <w:jc w:val="left"/>
            </w:pPr>
            <w:r>
              <w:t xml:space="preserve">Withholding Tax (15% — Professional Services)</w:t>
            </w:r>
          </w:p>
        </w:tc>
        <w:tc>
          <w:tcPr/>
          <w:p>
            <w:pPr>
              <w:pStyle w:val="Compact"/>
              <w:jc w:val="right"/>
            </w:pPr>
            <w:r>
              <w:t xml:space="preserve">-18,000.00 MAD</w:t>
            </w:r>
          </w:p>
        </w:tc>
      </w:tr>
      <w:tr>
        <w:tc>
          <w:tcPr/>
          <w:p>
            <w:pPr>
              <w:pStyle w:val="Compact"/>
              <w:jc w:val="left"/>
            </w:pPr>
            <w:r>
              <w:rPr>
                <w:bCs/>
                <w:b/>
              </w:rPr>
              <w:t xml:space="preserve">Grand Total Due</w:t>
            </w:r>
          </w:p>
        </w:tc>
        <w:tc>
          <w:tcPr/>
          <w:p>
            <w:pPr>
              <w:pStyle w:val="Compact"/>
              <w:jc w:val="right"/>
            </w:pPr>
            <w:r>
              <w:rPr>
                <w:bCs/>
                <w:b/>
              </w:rPr>
              <w:t xml:space="preserve">126,000.00 MAD</w:t>
            </w:r>
          </w:p>
        </w:tc>
      </w:tr>
    </w:tbl>
    <w:bookmarkStart w:id="22" w:name="invoice-notes-payment-instructions"/>
    <w:p>
      <w:pPr>
        <w:pStyle w:val="Heading3"/>
      </w:pPr>
      <w:r>
        <w:t xml:space="preserve">Invoice Notes &amp; Payment Instructions</w:t>
      </w:r>
    </w:p>
    <w:p>
      <w:pPr>
        <w:pStyle w:val="FirstParagraph"/>
      </w:pPr>
      <w:r>
        <w:t xml:space="preserve">This Invoice is issued by a certified UX UI Designer operating in Morocco Casablanca in accordance with Moroccan commercial law and the applicable tax regulations set forth by the Direction Générale des Impôts (DGI). All services described herein were performed as part of a professional engagement between the UX UI Designer and the client for the purpose of enhancing digital product experiences within the Moroccan and broader North African market.</w:t>
      </w:r>
    </w:p>
    <w:p>
      <w:pPr>
        <w:pStyle w:val="BodyText"/>
      </w:pPr>
      <w:r>
        <w:rPr>
          <w:bCs/>
          <w:b/>
        </w:rPr>
        <w:t xml:space="preserve">Payment Method:</w:t>
      </w:r>
      <w:r>
        <w:t xml:space="preserve"> </w:t>
      </w:r>
      <w:r>
        <w:t xml:space="preserve">Bank transfer to the following account:</w:t>
      </w:r>
    </w:p>
    <w:p>
      <w:pPr>
        <w:numPr>
          <w:ilvl w:val="0"/>
          <w:numId w:val="1001"/>
        </w:numPr>
        <w:pStyle w:val="Compact"/>
      </w:pPr>
      <w:r>
        <w:rPr>
          <w:bCs/>
          <w:b/>
        </w:rPr>
        <w:t xml:space="preserve">Bank:</w:t>
      </w:r>
      <w:r>
        <w:t xml:space="preserve"> </w:t>
      </w:r>
      <w:r>
        <w:t xml:space="preserve">Attijariwafa Bank, Casablanca Central Branch</w:t>
      </w:r>
    </w:p>
    <w:p>
      <w:pPr>
        <w:numPr>
          <w:ilvl w:val="0"/>
          <w:numId w:val="1001"/>
        </w:numPr>
        <w:pStyle w:val="Compact"/>
      </w:pPr>
      <w:r>
        <w:rPr>
          <w:bCs/>
          <w:b/>
        </w:rPr>
        <w:t xml:space="preserve">Account Name:</w:t>
      </w:r>
      <w:r>
        <w:t xml:space="preserve"> </w:t>
      </w:r>
      <w:r>
        <w:t xml:space="preserve">Yassine El Amrani</w:t>
      </w:r>
    </w:p>
    <w:p>
      <w:pPr>
        <w:numPr>
          <w:ilvl w:val="0"/>
          <w:numId w:val="1001"/>
        </w:numPr>
        <w:pStyle w:val="Compact"/>
      </w:pPr>
      <w:r>
        <w:rPr>
          <w:bCs/>
          <w:b/>
        </w:rPr>
        <w:t xml:space="preserve">RIB:</w:t>
      </w:r>
      <w:r>
        <w:t xml:space="preserve"> </w:t>
      </w:r>
      <w:r>
        <w:t xml:space="preserve">007 800 1234567890123 45</w:t>
      </w:r>
    </w:p>
    <w:p>
      <w:pPr>
        <w:numPr>
          <w:ilvl w:val="0"/>
          <w:numId w:val="1001"/>
        </w:numPr>
        <w:pStyle w:val="Compact"/>
      </w:pPr>
      <w:r>
        <w:rPr>
          <w:bCs/>
          <w:b/>
        </w:rPr>
        <w:t xml:space="preserve">IBAN:</w:t>
      </w:r>
      <w:r>
        <w:t xml:space="preserve"> </w:t>
      </w:r>
      <w:r>
        <w:t xml:space="preserve">MA64 0078 0012 3456 7890 1234 5</w:t>
      </w:r>
    </w:p>
    <w:p>
      <w:pPr>
        <w:numPr>
          <w:ilvl w:val="0"/>
          <w:numId w:val="1001"/>
        </w:numPr>
        <w:pStyle w:val="Compact"/>
      </w:pPr>
      <w:r>
        <w:rPr>
          <w:bCs/>
          <w:b/>
        </w:rPr>
        <w:t xml:space="preserve">Reference:</w:t>
      </w:r>
      <w:r>
        <w:t xml:space="preserve"> </w:t>
      </w:r>
      <w:r>
        <w:t xml:space="preserve">INV-2025-CAS-0047</w:t>
      </w:r>
    </w:p>
    <w:p>
      <w:pPr>
        <w:pStyle w:val="FirstParagraph"/>
      </w:pPr>
      <w:r>
        <w:rPr>
          <w:bCs/>
          <w:b/>
        </w:rPr>
        <w:t xml:space="preserve">Important Terms:</w:t>
      </w:r>
      <w:r>
        <w:t xml:space="preserve"> </w:t>
      </w:r>
      <w:r>
        <w:t xml:space="preserve">This Invoice must be settled within fifteen (15) calendar days from the issue date. Late payments shall incur a penalty of 1.5% per month as stipulated under Moroccan commercial code Article L441-10. The UX UI Designer reserves the right to suspend ongoing services if payment is not received by the due date. All intellectual property rights to the final design deliverables shall transfer to the client upon full and final payment of this Invoice. The UX UI Designer retains the right to display completed work in a professional portfolio unless otherwise agreed in writing.</w:t>
      </w:r>
    </w:p>
    <w:p>
      <w:pPr>
        <w:pStyle w:val="BodyText"/>
      </w:pPr>
      <w:r>
        <w:rPr>
          <w:bCs/>
          <w:b/>
        </w:rPr>
        <w:t xml:space="preserve">Scope Clarification:</w:t>
      </w:r>
      <w:r>
        <w:t xml:space="preserve"> </w:t>
      </w:r>
      <w:r>
        <w:t xml:space="preserve">This Invoice covers the UX UI Designer services as itemized above. Any additional revisions beyond the agreed scope, changes in project requirements, or extended timelines will be subject to a separate change-order Invoice. The UX UI Designer based in Morocco Casablanca is available for a maximum of three (3) revision cycles per deliverable without additional charge.</w:t>
      </w:r>
    </w:p>
    <w:p>
      <w:pPr>
        <w:pStyle w:val="BodyText"/>
      </w:pPr>
      <w:r>
        <w:rPr>
          <w:bCs/>
          <w:b/>
        </w:rPr>
        <w:t xml:space="preserve">Legal Notice:</w:t>
      </w:r>
      <w:r>
        <w:t xml:space="preserve"> </w:t>
      </w:r>
      <w:r>
        <w:t xml:space="preserve">This Invoice constitutes a legally binding document under Moroccan law. In the event of any dispute, the competent courts of Casablanca, Morocco shall have exclusive jurisdiction. The parties agree to attempt amicable resolution before initiating any legal proceedings. This Invoice is valid for a period of ninety (90) days from the date of issue.</w:t>
      </w:r>
    </w:p>
    <w:bookmarkEnd w:id="22"/>
    <w:p>
      <w:pPr>
        <w:pStyle w:val="BodyText"/>
      </w:pPr>
      <w:r>
        <w:rPr>
          <w:bCs/>
          <w:b/>
        </w:rPr>
        <w:t xml:space="preserve">Yassine El Amrani — UX UI Designer</w:t>
      </w:r>
      <w:r>
        <w:t xml:space="preserve"> </w:t>
      </w:r>
      <w:r>
        <w:t xml:space="preserve">| Morocco Casablanca | ICE: 002456789012345 | IF: 45678901</w:t>
      </w:r>
    </w:p>
    <w:p>
      <w:pPr>
        <w:pStyle w:val="BodyText"/>
      </w:pPr>
      <w:r>
        <w:t xml:space="preserve">This Invoice was generated electronically and is valid without a physical signature. For verification, contact the UX UI Designer at the address listed above.</w:t>
      </w:r>
    </w:p>
    <w:p>
      <w:pPr>
        <w:pStyle w:val="BodyText"/>
      </w:pPr>
      <w:r>
        <w:t xml:space="preserve">© 2025 — All rights reserved. Invoice INV-2025-CAS-0047 —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Morocco Casablanca</dc:title>
  <dc:creator/>
  <dc:language>en</dc:language>
  <cp:keywords/>
  <dcterms:created xsi:type="dcterms:W3CDTF">2026-10-10T09:15:33Z</dcterms:created>
  <dcterms:modified xsi:type="dcterms:W3CDTF">2026-10-10T09:15:33Z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