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Professional UX UI Designer Services</w:t>
      </w:r>
    </w:p>
    <w:bookmarkStart w:id="20" w:name="invoice-number"/>
    <w:p>
      <w:pPr>
        <w:pStyle w:val="Heading3"/>
      </w:pPr>
      <w:r>
        <w:t xml:space="preserve">Invoice Number:</w:t>
      </w:r>
    </w:p>
    <w:p>
      <w:pPr>
        <w:pStyle w:val="FirstParagraph"/>
      </w:pPr>
      <w:r>
        <w:t xml:space="preserve">INV-AKL-2025-0047</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p>
      <w:pPr>
        <w:pStyle w:val="BodyText"/>
      </w:pPr>
      <w:r>
        <w:t xml:space="preserve">PENDING PAYMENT</w:t>
      </w:r>
    </w:p>
    <w:bookmarkEnd w:id="22"/>
    <w:bookmarkStart w:id="23" w:name="billed-by-ux-ui-designer"/>
    <w:p>
      <w:pPr>
        <w:pStyle w:val="Heading4"/>
      </w:pPr>
      <w:r>
        <w:t xml:space="preserve">Billed By (UX UI Designer)</w:t>
      </w:r>
    </w:p>
    <w:p>
      <w:pPr>
        <w:pStyle w:val="FirstParagraph"/>
      </w:pPr>
      <w:r>
        <w:rPr>
          <w:bCs/>
          <w:b/>
        </w:rPr>
        <w:t xml:space="preserve">Alexandra Mitchell Design Studio</w:t>
      </w:r>
    </w:p>
    <w:p>
      <w:pPr>
        <w:pStyle w:val="BodyText"/>
      </w:pPr>
      <w:r>
        <w:t xml:space="preserve">Level 4, 128 Queen Street</w:t>
      </w:r>
    </w:p>
    <w:p>
      <w:pPr>
        <w:pStyle w:val="BodyText"/>
      </w:pPr>
      <w:r>
        <w:t xml:space="preserve">Auckland CBD, Auckland 1010</w:t>
      </w:r>
    </w:p>
    <w:p>
      <w:pPr>
        <w:pStyle w:val="BodyText"/>
      </w:pPr>
      <w:r>
        <w:t xml:space="preserve">New Zealand</w:t>
      </w:r>
    </w:p>
    <w:p>
      <w:pPr>
        <w:pStyle w:val="BodyText"/>
      </w:pPr>
      <w:r>
        <w:t xml:space="preserve">Email: alexandra@amdesign.co.nz</w:t>
      </w:r>
    </w:p>
    <w:p>
      <w:pPr>
        <w:pStyle w:val="BodyText"/>
      </w:pPr>
      <w:r>
        <w:t xml:space="preserve">Phone: +64 9 374 5521</w:t>
      </w:r>
    </w:p>
    <w:p>
      <w:pPr>
        <w:pStyle w:val="BodyText"/>
      </w:pPr>
      <w:r>
        <w:t xml:space="preserve">IRD Number: 94-287651-3</w:t>
      </w:r>
    </w:p>
    <w:bookmarkEnd w:id="23"/>
    <w:bookmarkStart w:id="24" w:name="billed-to-client"/>
    <w:p>
      <w:pPr>
        <w:pStyle w:val="Heading4"/>
      </w:pPr>
      <w:r>
        <w:t xml:space="preserve">Billed To (Client)</w:t>
      </w:r>
    </w:p>
    <w:p>
      <w:pPr>
        <w:pStyle w:val="FirstParagraph"/>
      </w:pPr>
      <w:r>
        <w:rPr>
          <w:bCs/>
          <w:b/>
        </w:rPr>
        <w:t xml:space="preserve">Harbour Digital Solutions Ltd</w:t>
      </w:r>
    </w:p>
    <w:p>
      <w:pPr>
        <w:pStyle w:val="BodyText"/>
      </w:pPr>
      <w:r>
        <w:t xml:space="preserve">75 Federal Street</w:t>
      </w:r>
    </w:p>
    <w:p>
      <w:pPr>
        <w:pStyle w:val="BodyText"/>
      </w:pPr>
      <w:r>
        <w:t xml:space="preserve">Ponsonby, Auckland 1011</w:t>
      </w:r>
    </w:p>
    <w:p>
      <w:pPr>
        <w:pStyle w:val="BodyText"/>
      </w:pPr>
      <w:r>
        <w:t xml:space="preserve">New Zealand</w:t>
      </w:r>
    </w:p>
    <w:p>
      <w:pPr>
        <w:pStyle w:val="BodyText"/>
      </w:pPr>
      <w:r>
        <w:t xml:space="preserve">Email: procurement@harbourdigital.co.nz</w:t>
      </w:r>
    </w:p>
    <w:p>
      <w:pPr>
        <w:pStyle w:val="BodyText"/>
      </w:pPr>
      <w:r>
        <w:t xml:space="preserve">Phone: +64 9 523 8847</w:t>
      </w:r>
    </w:p>
    <w:p>
      <w:pPr>
        <w:pStyle w:val="BodyText"/>
      </w:pPr>
      <w:r>
        <w:t xml:space="preserve">Company No: 942-876-543</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UX Research &amp; User Journey Mapping for e-commerce platform redesign. Comprehensive stakeholder interviews, competitor analysis, and persona development conducted across New Zealand Auckland user base.</w:t>
            </w:r>
          </w:p>
        </w:tc>
        <w:tc>
          <w:tcPr/>
          <w:p>
            <w:pPr>
              <w:pStyle w:val="Compact"/>
              <w:jc w:val="left"/>
            </w:pPr>
            <w:r>
              <w:t xml:space="preserve">Research Report</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UI Design System Development including component library, design tokens, typography scale, colour palette, and accessibility compliance (WCAG 2.1 AA) for the client's digital product suite.</w:t>
            </w:r>
          </w:p>
        </w:tc>
        <w:tc>
          <w:tcPr/>
          <w:p>
            <w:pPr>
              <w:pStyle w:val="Compact"/>
              <w:jc w:val="left"/>
            </w:pPr>
            <w:r>
              <w:t xml:space="preserve">Figma Design System</w:t>
            </w:r>
          </w:p>
        </w:tc>
        <w:tc>
          <w:tcPr/>
          <w:p>
            <w:pPr>
              <w:pStyle w:val="Compact"/>
              <w:jc w:val="left"/>
            </w:pPr>
            <w:r>
              <w:t xml:space="preserve">64</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3</w:t>
            </w:r>
          </w:p>
        </w:tc>
        <w:tc>
          <w:tcPr/>
          <w:p>
            <w:pPr>
              <w:pStyle w:val="Compact"/>
              <w:jc w:val="left"/>
            </w:pPr>
            <w:r>
              <w:t xml:space="preserve">Wireframing and Interactive Prototyping for 24 key screens. Low-fidelity to high-fidelity progression with clickable prototypes for user testing sessions scheduled in New Zealand Auckland.</w:t>
            </w:r>
          </w:p>
        </w:tc>
        <w:tc>
          <w:tcPr/>
          <w:p>
            <w:pPr>
              <w:pStyle w:val="Compact"/>
              <w:jc w:val="left"/>
            </w:pPr>
            <w:r>
              <w:t xml:space="preserve">Prototype Package</w:t>
            </w:r>
          </w:p>
        </w:tc>
        <w:tc>
          <w:tcPr/>
          <w:p>
            <w:pPr>
              <w:pStyle w:val="Compact"/>
              <w:jc w:val="left"/>
            </w:pPr>
            <w:r>
              <w:t xml:space="preserve">56</w:t>
            </w:r>
          </w:p>
        </w:tc>
        <w:tc>
          <w:tcPr/>
          <w:p>
            <w:pPr>
              <w:pStyle w:val="Compact"/>
              <w:jc w:val="left"/>
            </w:pPr>
            <w:r>
              <w:t xml:space="preserve">$185.00</w:t>
            </w:r>
          </w:p>
        </w:tc>
        <w:tc>
          <w:tcPr/>
          <w:p>
            <w:pPr>
              <w:pStyle w:val="Compact"/>
              <w:jc w:val="left"/>
            </w:pPr>
            <w:r>
              <w:t xml:space="preserve">$10,360.00</w:t>
            </w:r>
          </w:p>
        </w:tc>
      </w:tr>
      <w:tr>
        <w:tc>
          <w:tcPr/>
          <w:p>
            <w:pPr>
              <w:pStyle w:val="Compact"/>
              <w:jc w:val="left"/>
            </w:pPr>
            <w:r>
              <w:t xml:space="preserve">4</w:t>
            </w:r>
          </w:p>
        </w:tc>
        <w:tc>
          <w:tcPr/>
          <w:p>
            <w:pPr>
              <w:pStyle w:val="Compact"/>
              <w:jc w:val="left"/>
            </w:pPr>
            <w:r>
              <w:t xml:space="preserve">Usability Testing &amp; Iteration. Moderated testing sessions with 12 participants, heuristic evaluation, and two rounds of design refinement based on quantitative and qualitative feedback.</w:t>
            </w:r>
          </w:p>
        </w:tc>
        <w:tc>
          <w:tcPr/>
          <w:p>
            <w:pPr>
              <w:pStyle w:val="Compact"/>
              <w:jc w:val="left"/>
            </w:pPr>
            <w:r>
              <w:t xml:space="preserve">Testing Report</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t xml:space="preserve">Developer Handoff &amp; Design QA. Detailed annotation documentation, asset export, responsive breakpoint specifications, and two weeks of post-launch design quality assurance support.</w:t>
            </w:r>
          </w:p>
        </w:tc>
        <w:tc>
          <w:tcPr/>
          <w:p>
            <w:pPr>
              <w:pStyle w:val="Compact"/>
              <w:jc w:val="left"/>
            </w:pPr>
            <w:r>
              <w:t xml:space="preserve">Handoff Package</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6</w:t>
            </w:r>
          </w:p>
        </w:tc>
        <w:tc>
          <w:tcPr/>
          <w:p>
            <w:pPr>
              <w:pStyle w:val="Compact"/>
              <w:jc w:val="left"/>
            </w:pPr>
            <w:r>
              <w:t xml:space="preserve">Project Management &amp; Communication. Weekly progress meetings, sprint planning, client reporting, and ongoing coordination with the development team throughout the engagement period in New Zealand Auckland.</w:t>
            </w:r>
          </w:p>
        </w:tc>
        <w:tc>
          <w:tcPr/>
          <w:p>
            <w:pPr>
              <w:pStyle w:val="Compact"/>
              <w:jc w:val="left"/>
            </w:pPr>
            <w:r>
              <w:t xml:space="preserve">Ongoing</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$44,740.00</w:t>
            </w:r>
          </w:p>
        </w:tc>
      </w:tr>
      <w:tr>
        <w:tc>
          <w:tcPr/>
          <w:p>
            <w:pPr>
              <w:pStyle w:val="Compact"/>
              <w:jc w:val="left"/>
            </w:pPr>
            <w:r>
              <w:t xml:space="preserve">Discount (Early Engagement 5%)</w:t>
            </w:r>
          </w:p>
        </w:tc>
        <w:tc>
          <w:tcPr/>
          <w:p>
            <w:pPr>
              <w:pStyle w:val="Compact"/>
              <w:jc w:val="right"/>
            </w:pPr>
            <w:r>
              <w:t xml:space="preserve">-$2,237.00</w:t>
            </w:r>
          </w:p>
        </w:tc>
      </w:tr>
      <w:tr>
        <w:tc>
          <w:tcPr/>
          <w:p>
            <w:pPr>
              <w:pStyle w:val="Compact"/>
              <w:jc w:val="left"/>
            </w:pPr>
            <w:r>
              <w:t xml:space="preserve">GST (15% - New Zealand)</w:t>
            </w:r>
          </w:p>
        </w:tc>
        <w:tc>
          <w:tcPr/>
          <w:p>
            <w:pPr>
              <w:pStyle w:val="Compact"/>
              <w:jc w:val="right"/>
            </w:pPr>
            <w:r>
              <w:t xml:space="preserve">$6,331.05</w:t>
            </w:r>
          </w:p>
        </w:tc>
      </w:tr>
      <w:tr>
        <w:tc>
          <w:tcPr/>
          <w:p>
            <w:pPr>
              <w:pStyle w:val="Compact"/>
              <w:jc w:val="left"/>
            </w:pPr>
            <w:r>
              <w:t xml:space="preserve">TOTAL DUE (NZD)</w:t>
            </w:r>
          </w:p>
        </w:tc>
        <w:tc>
          <w:tcPr/>
          <w:p>
            <w:pPr>
              <w:pStyle w:val="Compact"/>
              <w:jc w:val="right"/>
            </w:pPr>
            <w:r>
              <w:t xml:space="preserve">$48,834.05</w:t>
            </w:r>
          </w:p>
        </w:tc>
      </w:tr>
    </w:tbl>
    <w:bookmarkStart w:id="25" w:name="payment-details"/>
    <w:p>
      <w:pPr>
        <w:pStyle w:val="Heading4"/>
      </w:pPr>
      <w:r>
        <w:t xml:space="preserve">Payment Details</w:t>
      </w:r>
    </w:p>
    <w:p>
      <w:pPr>
        <w:pStyle w:val="FirstParagraph"/>
      </w:pPr>
      <w:r>
        <w:rPr>
          <w:bCs/>
          <w:b/>
        </w:rPr>
        <w:t xml:space="preserve">Bank:</w:t>
      </w:r>
      <w:r>
        <w:t xml:space="preserve"> </w:t>
      </w:r>
      <w:r>
        <w:t xml:space="preserve">ANZ National Bank</w:t>
      </w:r>
    </w:p>
    <w:p>
      <w:pPr>
        <w:pStyle w:val="BodyText"/>
      </w:pPr>
      <w:r>
        <w:rPr>
          <w:bCs/>
          <w:b/>
        </w:rPr>
        <w:t xml:space="preserve">Account Name:</w:t>
      </w:r>
      <w:r>
        <w:t xml:space="preserve"> </w:t>
      </w:r>
      <w:r>
        <w:t xml:space="preserve">Alexandra Mitchell Design Studio</w:t>
      </w:r>
    </w:p>
    <w:p>
      <w:pPr>
        <w:pStyle w:val="BodyText"/>
      </w:pPr>
      <w:r>
        <w:rPr>
          <w:bCs/>
          <w:b/>
        </w:rPr>
        <w:t xml:space="preserve">Account Number:</w:t>
      </w:r>
      <w:r>
        <w:t xml:space="preserve"> </w:t>
      </w:r>
      <w:r>
        <w:t xml:space="preserve">01-0042-8876543-00</w:t>
      </w:r>
    </w:p>
    <w:p>
      <w:pPr>
        <w:pStyle w:val="BodyText"/>
      </w:pPr>
      <w:r>
        <w:rPr>
          <w:bCs/>
          <w:b/>
        </w:rPr>
        <w:t xml:space="preserve">BSB/Sort Code:</w:t>
      </w:r>
      <w:r>
        <w:t xml:space="preserve"> </w:t>
      </w:r>
      <w:r>
        <w:t xml:space="preserve">01-0042</w:t>
      </w:r>
    </w:p>
    <w:p>
      <w:pPr>
        <w:pStyle w:val="BodyText"/>
      </w:pPr>
      <w:r>
        <w:rPr>
          <w:bCs/>
          <w:b/>
        </w:rPr>
        <w:t xml:space="preserve">Reference:</w:t>
      </w:r>
      <w:r>
        <w:t xml:space="preserve"> </w:t>
      </w:r>
      <w:r>
        <w:t xml:space="preserve">INV-AKL-2025-0047</w:t>
      </w:r>
    </w:p>
    <w:bookmarkEnd w:id="25"/>
    <w:bookmarkStart w:id="26" w:name="payment-terms"/>
    <w:p>
      <w:pPr>
        <w:pStyle w:val="Heading4"/>
      </w:pPr>
      <w:r>
        <w:t xml:space="preserve">Payment Terms</w:t>
      </w:r>
    </w:p>
    <w:p>
      <w:pPr>
        <w:pStyle w:val="FirstParagraph"/>
      </w:pPr>
      <w:r>
        <w:t xml:space="preserve">Payment due within 30 days of Invoice issue date.</w:t>
      </w:r>
    </w:p>
    <w:p>
      <w:pPr>
        <w:pStyle w:val="BodyText"/>
      </w:pPr>
      <w:r>
        <w:t xml:space="preserve">50% deposit was received on 1 June 2025.</w:t>
      </w:r>
    </w:p>
    <w:p>
      <w:pPr>
        <w:pStyle w:val="BodyText"/>
      </w:pPr>
      <w:r>
        <w:t xml:space="preserve">Balance of $24,417.03 (NZD) is due by 15 July 2025.</w:t>
      </w:r>
    </w:p>
    <w:p>
      <w:pPr>
        <w:pStyle w:val="BodyText"/>
      </w:pPr>
      <w:r>
        <w:t xml:space="preserve">Late payments subject to 10% interest per annum as per New Zealand consumer credit law.</w:t>
      </w:r>
    </w:p>
    <w:bookmarkEnd w:id="26"/>
    <w:bookmarkStart w:id="27" w:name="X299dbe5e910be9ece60012165ce1a1e5ab4aa43"/>
    <w:p>
      <w:pPr>
        <w:pStyle w:val="Heading3"/>
      </w:pPr>
      <w:r>
        <w:t xml:space="preserve">Terms &amp; Conditions – UX UI Designer Services Invoice</w:t>
      </w:r>
    </w:p>
    <w:p>
      <w:pPr>
        <w:pStyle w:val="FirstParagraph"/>
      </w:pPr>
      <w:r>
        <w:t xml:space="preserve">This Invoice is issued by Alexandra Mitchell Design Studio, a registered UX UI Designer operating in New Zealand Auckland, in accordance with the services agreement dated 20 May 2025. The following terms govern this Invoice and the associated professional design services:</w:t>
      </w:r>
    </w:p>
    <w:p>
      <w:pPr>
        <w:numPr>
          <w:ilvl w:val="0"/>
          <w:numId w:val="1001"/>
        </w:numPr>
        <w:pStyle w:val="Compact"/>
      </w:pPr>
      <w:r>
        <w:t xml:space="preserve">All design deliverables, including but not limited to wireframes, prototypes, design systems, and user research documentation, remain the intellectual property of the UX UI Designer until full payment of this Invoice is received in full.</w:t>
      </w:r>
    </w:p>
    <w:p>
      <w:pPr>
        <w:numPr>
          <w:ilvl w:val="0"/>
          <w:numId w:val="1001"/>
        </w:numPr>
        <w:pStyle w:val="Compact"/>
      </w:pPr>
      <w:r>
        <w:t xml:space="preserve">Upon receipt of complete payment, all rights to the final design assets, source files, and documentation are transferred to the client. The UX UI Designer retains the right to display completed work in their professional portfolio with prior written consent from the client.</w:t>
      </w:r>
    </w:p>
    <w:p>
      <w:pPr>
        <w:numPr>
          <w:ilvl w:val="0"/>
          <w:numId w:val="1001"/>
        </w:numPr>
        <w:pStyle w:val="Compact"/>
      </w:pPr>
      <w:r>
        <w:t xml:space="preserve">This Invoice covers the scope of work as defined in the Statement of Work (SOW) attached to the original engagement contract. Any additional design revisions beyond the agreed two (2) iteration rounds will be billed at the standard UX UI Designer hourly rate of $185.00 NZD per hour.</w:t>
      </w:r>
    </w:p>
    <w:p>
      <w:pPr>
        <w:numPr>
          <w:ilvl w:val="0"/>
          <w:numId w:val="1001"/>
        </w:numPr>
        <w:pStyle w:val="Compact"/>
      </w:pPr>
      <w:r>
        <w:t xml:space="preserve">All services are delivered in compliance with New Zealand design industry standards and the Privacy Act 2020. User research data collected during testing sessions in New Zealand Auckland will be anonymised and stored securely in accordance with applicable data protection regulations.</w:t>
      </w:r>
    </w:p>
    <w:p>
      <w:pPr>
        <w:numPr>
          <w:ilvl w:val="0"/>
          <w:numId w:val="1001"/>
        </w:numPr>
        <w:pStyle w:val="Compact"/>
      </w:pPr>
      <w:r>
        <w:t xml:space="preserve">Disputes arising from this Invoice or the associated services shall be resolved through mediation in Auckland, New Zealand, in accordance with the New Zealand Disputes Tribunal Act 2012 before any formal legal proceedings are initiated.</w:t>
      </w:r>
    </w:p>
    <w:p>
      <w:pPr>
        <w:numPr>
          <w:ilvl w:val="0"/>
          <w:numId w:val="1001"/>
        </w:numPr>
        <w:pStyle w:val="Compact"/>
      </w:pPr>
      <w:r>
        <w:t xml:space="preserve">This Invoice is valid for 90 days from the issue date. If payment is not received within the stipulated 30-day period, the UX UI Designer reserves the right to suspend all ongoing work and withhold final deliverables until the outstanding balance is settled.</w:t>
      </w:r>
    </w:p>
    <w:p>
      <w:pPr>
        <w:numPr>
          <w:ilvl w:val="0"/>
          <w:numId w:val="1001"/>
        </w:numPr>
        <w:pStyle w:val="Compact"/>
      </w:pPr>
      <w:r>
        <w:t xml:space="preserve">All amounts stated in this Invoice are in New Zealand Dollars (NZD) and include Goods and Services Tax (GST) at the current New Zealand rate of 15%, as required by the Inland Revenue Department (IRD).</w:t>
      </w:r>
    </w:p>
    <w:bookmarkEnd w:id="27"/>
    <w:p>
      <w:pPr>
        <w:pStyle w:val="FirstParagraph"/>
      </w:pPr>
      <w:r>
        <w:rPr>
          <w:bCs/>
          <w:b/>
        </w:rPr>
        <w:t xml:space="preserve">Alexandra Mitchell Design Studio</w:t>
      </w:r>
      <w:r>
        <w:t xml:space="preserve"> </w:t>
      </w:r>
      <w:r>
        <w:t xml:space="preserve">| Level 4, 128 Queen Street, Auckland CBD, Auckland 1010, New Zealand</w:t>
      </w:r>
    </w:p>
    <w:p>
      <w:pPr>
        <w:pStyle w:val="BodyText"/>
      </w:pPr>
      <w:r>
        <w:t xml:space="preserve">Registered UX UI Designer | IRD: 94-287651-3 | NZBN: 942904876512345</w:t>
      </w:r>
    </w:p>
    <w:p>
      <w:pPr>
        <w:pStyle w:val="BodyText"/>
      </w:pPr>
      <w:r>
        <w:t xml:space="preserve">Thank you for engaging our UX UI Designer services in New Zealand Auckland. We appreciate your business and look forward to a continued successful partnership. Please do not hesitate to contact us if you have any questions regarding this Invoice or the design deliverables outlined above.</w:t>
      </w:r>
    </w:p>
    <w:p>
      <w:pPr>
        <w:pStyle w:val="BodyText"/>
      </w:pPr>
      <w:r>
        <w:t xml:space="preserve">This is a computer-generated Invoice and does not require a signature. For queries, please reference Invoice Number INV-AKL-2025-0047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New Zealand Auckland</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