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Professional UX UI Designer Services</w:t>
      </w:r>
    </w:p>
    <w:p>
      <w:pPr>
        <w:pStyle w:val="BodyText"/>
      </w:pPr>
      <w:r>
        <w:t xml:space="preserve">Philippines Manila — Metro Manila Region</w:t>
      </w:r>
    </w:p>
    <w:bookmarkStart w:id="20" w:name="invoice-number"/>
    <w:p>
      <w:pPr>
        <w:pStyle w:val="Heading3"/>
      </w:pPr>
      <w:r>
        <w:t xml:space="preserve">Invoice Number:</w:t>
      </w:r>
    </w:p>
    <w:p>
      <w:pPr>
        <w:pStyle w:val="FirstParagraph"/>
      </w:pPr>
      <w:r>
        <w:t xml:space="preserve">INV-2025-PHL-00472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tatus"/>
    <w:p>
      <w:pPr>
        <w:pStyle w:val="Heading3"/>
      </w:pPr>
      <w:r>
        <w:t xml:space="preserve">Status:</w:t>
      </w:r>
    </w:p>
    <w:p>
      <w:pPr>
        <w:pStyle w:val="FirstParagraph"/>
      </w:pPr>
      <w:r>
        <w:t xml:space="preserve">Pending Payment</w:t>
      </w:r>
    </w:p>
    <w:bookmarkEnd w:id="23"/>
    <w:bookmarkStart w:id="24" w:name="from-service-provider"/>
    <w:p>
      <w:pPr>
        <w:pStyle w:val="Heading4"/>
      </w:pPr>
      <w:r>
        <w:t xml:space="preserve">From (Service Provider)</w:t>
      </w:r>
    </w:p>
    <w:p>
      <w:pPr>
        <w:pStyle w:val="FirstParagraph"/>
      </w:pPr>
      <w:r>
        <w:t xml:space="preserve">Alexandra Reyes, UX UI Designer</w:t>
      </w:r>
    </w:p>
    <w:p>
      <w:pPr>
        <w:pStyle w:val="BodyText"/>
      </w:pPr>
      <w:r>
        <w:t xml:space="preserve">Reyes Digital Design Studio</w:t>
      </w:r>
    </w:p>
    <w:p>
      <w:pPr>
        <w:pStyle w:val="BodyText"/>
      </w:pPr>
      <w:r>
        <w:t xml:space="preserve">Unit 1204, Ayala Avenue Towers</w:t>
      </w:r>
    </w:p>
    <w:p>
      <w:pPr>
        <w:pStyle w:val="BodyText"/>
      </w:pPr>
      <w:r>
        <w:t xml:space="preserve">1200 Philippines Manila, Metro Manila</w:t>
      </w:r>
    </w:p>
    <w:p>
      <w:pPr>
        <w:pStyle w:val="BodyText"/>
      </w:pPr>
      <w:r>
        <w:t xml:space="preserve">Tel: +63 (2) 8855-4421</w:t>
      </w:r>
    </w:p>
    <w:p>
      <w:pPr>
        <w:pStyle w:val="BodyText"/>
      </w:pPr>
      <w:r>
        <w:t xml:space="preserve">Email: alexandra.reyes@reyesdesign.ph</w:t>
      </w:r>
    </w:p>
    <w:p>
      <w:pPr>
        <w:pStyle w:val="BodyText"/>
      </w:pPr>
      <w:r>
        <w:t xml:space="preserve">TIN: 201-456-789-000</w:t>
      </w:r>
    </w:p>
    <w:bookmarkEnd w:id="24"/>
    <w:bookmarkStart w:id="25" w:name="bill-to-client"/>
    <w:p>
      <w:pPr>
        <w:pStyle w:val="Heading4"/>
      </w:pPr>
      <w:r>
        <w:t xml:space="preserve">Bill To (Client)</w:t>
      </w:r>
    </w:p>
    <w:p>
      <w:pPr>
        <w:pStyle w:val="FirstParagraph"/>
      </w:pPr>
      <w:r>
        <w:t xml:space="preserve">TechNova Solutions Inc.</w:t>
      </w:r>
    </w:p>
    <w:p>
      <w:pPr>
        <w:pStyle w:val="BodyText"/>
      </w:pPr>
      <w:r>
        <w:t xml:space="preserve">Attn: Mr. Daniel Cruz, CTO</w:t>
      </w:r>
    </w:p>
    <w:p>
      <w:pPr>
        <w:pStyle w:val="BodyText"/>
      </w:pPr>
      <w:r>
        <w:t xml:space="preserve">8th Floor, BDO Corporate Center</w:t>
      </w:r>
    </w:p>
    <w:p>
      <w:pPr>
        <w:pStyle w:val="BodyText"/>
      </w:pPr>
      <w:r>
        <w:t xml:space="preserve">1000 Philippines Manila, Metro Manila</w:t>
      </w:r>
    </w:p>
    <w:p>
      <w:pPr>
        <w:pStyle w:val="BodyText"/>
      </w:pPr>
      <w:r>
        <w:t xml:space="preserve">Tel: +63 (2) 8833-7712</w:t>
      </w:r>
    </w:p>
    <w:p>
      <w:pPr>
        <w:pStyle w:val="BodyText"/>
      </w:pPr>
      <w:r>
        <w:t xml:space="preserve">Email: d.cruz@technova.ph</w:t>
      </w:r>
    </w:p>
    <w:p>
      <w:pPr>
        <w:pStyle w:val="BodyText"/>
      </w:pPr>
      <w:r>
        <w:t xml:space="preserve">TIN: 114-238-567-000</w:t>
      </w:r>
    </w:p>
    <w:bookmarkEnd w:id="25"/>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UX Research &amp; User Persona Development</w:t>
            </w:r>
          </w:p>
          <w:p>
            <w:pPr>
              <w:pStyle w:val="Compact"/>
              <w:jc w:val="left"/>
            </w:pPr>
            <w:r>
              <w:t xml:space="preserve">Conducted in-depth user interviews, competitive analysis, and created detailed user personas for the TechNova mobile banking application. Performed in the Philippines Manila office and remote sessions.</w:t>
            </w:r>
          </w:p>
        </w:tc>
        <w:tc>
          <w:tcPr/>
          <w:p>
            <w:pPr>
              <w:pStyle w:val="Compact"/>
              <w:jc w:val="left"/>
            </w:pPr>
            <w:r>
              <w:t xml:space="preserve">Research Report &amp; Persona Cards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UI Wireframing &amp; Information Architecture</w:t>
            </w:r>
          </w:p>
          <w:p>
            <w:pPr>
              <w:pStyle w:val="Compact"/>
              <w:jc w:val="left"/>
            </w:pPr>
            <w:r>
              <w:t xml:space="preserve">Designed low-fidelity wireframes for 25+ screens, established information architecture, and created user flow diagrams for the new e-commerce platform. All deliverables reviewed with the Philippines Manila product team.</w:t>
            </w:r>
          </w:p>
        </w:tc>
        <w:tc>
          <w:tcPr/>
          <w:p>
            <w:pPr>
              <w:pStyle w:val="Compact"/>
              <w:jc w:val="left"/>
            </w:pPr>
            <w:r>
              <w:t xml:space="preserve">Wireframe Set &amp; Flow Diagrams</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High-Fidelity UI Design &amp; Design System</w:t>
            </w:r>
          </w:p>
          <w:p>
            <w:pPr>
              <w:pStyle w:val="Compact"/>
              <w:jc w:val="left"/>
            </w:pPr>
            <w:r>
              <w:t xml:space="preserve">Produced pixel-perfect high-fidelity mockups in Figma, built a comprehensive design system with 120+ components, color tokens, typography scales, and spacing guidelines. Delivered to the Philippines Manila engineering team for implementation.</w:t>
            </w:r>
          </w:p>
        </w:tc>
        <w:tc>
          <w:tcPr/>
          <w:p>
            <w:pPr>
              <w:pStyle w:val="Compact"/>
              <w:jc w:val="left"/>
            </w:pPr>
            <w:r>
              <w:t xml:space="preserve">Figma Files &amp; Design System</w:t>
            </w:r>
          </w:p>
        </w:tc>
        <w:tc>
          <w:tcPr/>
          <w:p>
            <w:pPr>
              <w:pStyle w:val="Compact"/>
              <w:jc w:val="left"/>
            </w:pPr>
            <w:r>
              <w:t xml:space="preserve">80</w:t>
            </w:r>
          </w:p>
        </w:tc>
        <w:tc>
          <w:tcPr/>
          <w:p>
            <w:pPr>
              <w:pStyle w:val="Compact"/>
              <w:jc w:val="left"/>
            </w:pPr>
            <w:r>
              <w:t xml:space="preserve">2,800.00</w:t>
            </w:r>
          </w:p>
        </w:tc>
        <w:tc>
          <w:tcPr/>
          <w:p>
            <w:pPr>
              <w:pStyle w:val="Compact"/>
              <w:jc w:val="left"/>
            </w:pPr>
            <w:r>
              <w:t xml:space="preserve">224,000.00</w:t>
            </w:r>
          </w:p>
        </w:tc>
      </w:tr>
      <w:tr>
        <w:tc>
          <w:tcPr/>
          <w:p>
            <w:pPr>
              <w:pStyle w:val="Compact"/>
              <w:jc w:val="left"/>
            </w:pPr>
            <w:r>
              <w:t xml:space="preserve">4</w:t>
            </w:r>
          </w:p>
        </w:tc>
        <w:tc>
          <w:tcPr/>
          <w:p>
            <w:pPr>
              <w:pStyle w:val="Compact"/>
              <w:jc w:val="left"/>
            </w:pPr>
            <w:r>
              <w:rPr>
                <w:bCs/>
                <w:b/>
              </w:rPr>
              <w:t xml:space="preserve">Interactive Prototyping &amp; Usability Testing</w:t>
            </w:r>
          </w:p>
          <w:p>
            <w:pPr>
              <w:pStyle w:val="Compact"/>
              <w:jc w:val="left"/>
            </w:pPr>
            <w:r>
              <w:t xml:space="preserve">Built clickable prototypes in Figma and conducted 5 rounds of moderated usability testing with 30 participants in the Philippines Manila area. Compiled findings into a prioritized recommendations document.</w:t>
            </w:r>
          </w:p>
        </w:tc>
        <w:tc>
          <w:tcPr/>
          <w:p>
            <w:pPr>
              <w:pStyle w:val="Compact"/>
              <w:jc w:val="left"/>
            </w:pPr>
            <w:r>
              <w:t xml:space="preserve">Prototype &amp; Test Report</w:t>
            </w:r>
          </w:p>
        </w:tc>
        <w:tc>
          <w:tcPr/>
          <w:p>
            <w:pPr>
              <w:pStyle w:val="Compact"/>
              <w:jc w:val="left"/>
            </w:pPr>
            <w:r>
              <w:t xml:space="preserve">50</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5</w:t>
            </w:r>
          </w:p>
        </w:tc>
        <w:tc>
          <w:tcPr/>
          <w:p>
            <w:pPr>
              <w:pStyle w:val="Compact"/>
              <w:jc w:val="left"/>
            </w:pPr>
            <w:r>
              <w:rPr>
                <w:bCs/>
                <w:b/>
              </w:rPr>
              <w:t xml:space="preserve">Design QA &amp; Developer Handoff Support</w:t>
            </w:r>
          </w:p>
          <w:p>
            <w:pPr>
              <w:pStyle w:val="Compact"/>
              <w:jc w:val="left"/>
            </w:pPr>
            <w:r>
              <w:t xml:space="preserve">Provided ongoing design quality assurance during the 6-week development sprint. Conducted daily standup support, reviewed implementation fidelity, and resolved 45+ design queries from the Philippines Manila development team.</w:t>
            </w:r>
          </w:p>
        </w:tc>
        <w:tc>
          <w:tcPr/>
          <w:p>
            <w:pPr>
              <w:pStyle w:val="Compact"/>
              <w:jc w:val="left"/>
            </w:pPr>
            <w:r>
              <w:t xml:space="preserve">QA Reports &amp; Handoff Docs</w:t>
            </w:r>
          </w:p>
        </w:tc>
        <w:tc>
          <w:tcPr/>
          <w:p>
            <w:pPr>
              <w:pStyle w:val="Compact"/>
              <w:jc w:val="left"/>
            </w:pPr>
            <w:r>
              <w:t xml:space="preserve">30</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6</w:t>
            </w:r>
          </w:p>
        </w:tc>
        <w:tc>
          <w:tcPr/>
          <w:p>
            <w:pPr>
              <w:pStyle w:val="Compact"/>
              <w:jc w:val="left"/>
            </w:pPr>
            <w:r>
              <w:rPr>
                <w:bCs/>
                <w:b/>
              </w:rPr>
              <w:t xml:space="preserve">Brand Identity &amp; Visual Asset Creation</w:t>
            </w:r>
          </w:p>
          <w:p>
            <w:pPr>
              <w:pStyle w:val="Compact"/>
              <w:jc w:val="left"/>
            </w:pPr>
            <w:r>
              <w:t xml:space="preserve">Designed brand identity elements including logo variations, icon set (60 icons), social media templates, and marketing collateral for the Philippines Manila launch campaign. All assets delivered in source and export formats.</w:t>
            </w:r>
          </w:p>
        </w:tc>
        <w:tc>
          <w:tcPr/>
          <w:p>
            <w:pPr>
              <w:pStyle w:val="Compact"/>
              <w:jc w:val="left"/>
            </w:pPr>
            <w:r>
              <w:t xml:space="preserve">Brand Kit &amp; Asset Library</w:t>
            </w:r>
          </w:p>
        </w:tc>
        <w:tc>
          <w:tcPr/>
          <w:p>
            <w:pPr>
              <w:pStyle w:val="Compact"/>
              <w:jc w:val="left"/>
            </w:pPr>
            <w:r>
              <w:t xml:space="preserve">35</w:t>
            </w:r>
          </w:p>
        </w:tc>
        <w:tc>
          <w:tcPr/>
          <w:p>
            <w:pPr>
              <w:pStyle w:val="Compact"/>
              <w:jc w:val="left"/>
            </w:pPr>
            <w:r>
              <w:t xml:space="preserve">2,500.00</w:t>
            </w:r>
          </w:p>
        </w:tc>
        <w:tc>
          <w:tcPr/>
          <w:p>
            <w:pPr>
              <w:pStyle w:val="Compact"/>
              <w:jc w:val="left"/>
            </w:pPr>
            <w:r>
              <w:t xml:space="preserve">87,500.00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767,500.00</w:t>
            </w:r>
          </w:p>
        </w:tc>
      </w:tr>
      <w:tr>
        <w:tc>
          <w:tcPr/>
          <w:p>
            <w:pPr>
              <w:pStyle w:val="Compact"/>
              <w:jc w:val="left"/>
            </w:pPr>
            <w:r>
              <w:t xml:space="preserve">VAT (12%)</w:t>
            </w:r>
          </w:p>
        </w:tc>
        <w:tc>
          <w:tcPr/>
          <w:p>
            <w:pPr>
              <w:pStyle w:val="Compact"/>
              <w:jc w:val="left"/>
            </w:pPr>
            <w:r>
              <w:t xml:space="preserve">92,100.00</w:t>
            </w:r>
          </w:p>
        </w:tc>
      </w:tr>
      <w:tr>
        <w:tc>
          <w:tcPr/>
          <w:p>
            <w:pPr>
              <w:pStyle w:val="Compact"/>
              <w:jc w:val="left"/>
            </w:pPr>
            <w:r>
              <w:t xml:space="preserve">Withholding Tax (10%)</w:t>
            </w:r>
          </w:p>
        </w:tc>
        <w:tc>
          <w:tcPr/>
          <w:p>
            <w:pPr>
              <w:pStyle w:val="Compact"/>
              <w:jc w:val="left"/>
            </w:pPr>
            <w:r>
              <w:t xml:space="preserve">(85,960.00)</w:t>
            </w:r>
          </w:p>
        </w:tc>
      </w:tr>
      <w:tr>
        <w:tc>
          <w:tcPr/>
          <w:p>
            <w:pPr>
              <w:pStyle w:val="Compact"/>
              <w:jc w:val="left"/>
            </w:pPr>
            <w:r>
              <w:t xml:space="preserve">Net Amount Due</w:t>
            </w:r>
          </w:p>
        </w:tc>
        <w:tc>
          <w:tcPr/>
          <w:p>
            <w:pPr>
              <w:pStyle w:val="Compact"/>
              <w:jc w:val="left"/>
            </w:pPr>
            <w:r>
              <w:t xml:space="preserve">773,640.00</w:t>
            </w:r>
          </w:p>
        </w:tc>
      </w:tr>
    </w:tbl>
    <w:bookmarkStart w:id="26" w:name="invoice-terms-notes"/>
    <w:p>
      <w:pPr>
        <w:pStyle w:val="Heading4"/>
      </w:pPr>
      <w:r>
        <w:t xml:space="preserve">Invoice Terms &amp; Notes</w:t>
      </w:r>
    </w:p>
    <w:p>
      <w:pPr>
        <w:pStyle w:val="FirstParagraph"/>
      </w:pPr>
      <w:r>
        <w:rPr>
          <w:bCs/>
          <w:b/>
        </w:rPr>
        <w:t xml:space="preserve">Payment Terms:</w:t>
      </w:r>
      <w:r>
        <w:t xml:space="preserve"> </w:t>
      </w:r>
      <w:r>
        <w:t xml:space="preserve">This Invoice is payable within thirty (30) calendar days from the Invoice date via bank transfer to BDO Unibank, Account No. 1234-5678-9012, in the name of Reyes Digital Design Studio, Philippines Manila. Late payments shall accrue interest at 1.5% per month as stipulated under Philippine tax law.</w:t>
      </w:r>
    </w:p>
    <w:p>
      <w:pPr>
        <w:pStyle w:val="BodyText"/>
      </w:pPr>
      <w:r>
        <w:rPr>
          <w:bCs/>
          <w:b/>
        </w:rPr>
        <w:t xml:space="preserve">Scope Confirmation:</w:t>
      </w:r>
      <w:r>
        <w:t xml:space="preserve"> </w:t>
      </w:r>
      <w:r>
        <w:t xml:space="preserve">All UX UI Designer services listed in this Invoice were performed in accordance with the Master Service Agreement dated March 1, 2025, between the parties. The client has accepted all deliverables in writing via email on June 10, 2025.</w:t>
      </w:r>
    </w:p>
    <w:p>
      <w:pPr>
        <w:pStyle w:val="BodyText"/>
      </w:pPr>
      <w:r>
        <w:rPr>
          <w:bCs/>
          <w:b/>
        </w:rPr>
        <w:t xml:space="preserve">Tax Compliance:</w:t>
      </w:r>
      <w:r>
        <w:t xml:space="preserve"> </w:t>
      </w:r>
      <w:r>
        <w:t xml:space="preserve">This Invoice is issued in compliance with the Bureau of Internal Revenue (BIR) regulations of the Republic of the Philippines. Official Receipt No. OR-2025-00891 has been generated and attached to this document. The UX UI Designer services are subject to 12% VAT as a registered VAT taxpayer in the Philippines Manila jurisdiction.</w:t>
      </w:r>
    </w:p>
    <w:p>
      <w:pPr>
        <w:pStyle w:val="BodyText"/>
      </w:pPr>
      <w:r>
        <w:rPr>
          <w:bCs/>
          <w:b/>
        </w:rPr>
        <w:t xml:space="preserve">Revision Policy:</w:t>
      </w:r>
      <w:r>
        <w:t xml:space="preserve"> </w:t>
      </w:r>
      <w:r>
        <w:t xml:space="preserve">Two rounds of revisions are included per deliverable as outlined in the contract. Additional revision cycles beyond the agreed scope will be billed separately at the hourly rate specified in this Invoice.</w:t>
      </w:r>
    </w:p>
    <w:p>
      <w:pPr>
        <w:pStyle w:val="BodyText"/>
      </w:pPr>
      <w:r>
        <w:rPr>
          <w:bCs/>
          <w:b/>
        </w:rPr>
        <w:t xml:space="preserve">Confidentiality:</w:t>
      </w:r>
      <w:r>
        <w:t xml:space="preserve"> </w:t>
      </w:r>
      <w:r>
        <w:t xml:space="preserve">All design assets, user research data, and proprietary information shared during the engagement remain the exclusive property of TechNova Solutions Inc. The UX UI Designer agrees to maintain strict confidentiality in accordance with the NDA executed on March 1, 2025.</w:t>
      </w:r>
    </w:p>
    <w:p>
      <w:pPr>
        <w:pStyle w:val="BodyText"/>
      </w:pPr>
      <w:r>
        <w:rPr>
          <w:bCs/>
          <w:b/>
        </w:rPr>
        <w:t xml:space="preserve">Dispute Resolution:</w:t>
      </w:r>
      <w:r>
        <w:t xml:space="preserve"> </w:t>
      </w:r>
      <w:r>
        <w:t xml:space="preserve">Any disputes arising from this Invoice shall be resolved through mediation in the Philippines Manila jurisdiction, in accordance with the Philippine Rules of Civil Procedure.</w:t>
      </w:r>
    </w:p>
    <w:bookmarkEnd w:id="26"/>
    <w:p>
      <w:pPr>
        <w:pStyle w:val="BodyText"/>
      </w:pPr>
      <w:r>
        <w:rPr>
          <w:bCs/>
          <w:b/>
        </w:rPr>
        <w:t xml:space="preserve">Reyes Digital Design Studio</w:t>
      </w:r>
      <w:r>
        <w:t xml:space="preserve"> </w:t>
      </w:r>
      <w:r>
        <w:t xml:space="preserve">— Professional UX UI Designer Services — Philippines Manila</w:t>
      </w:r>
    </w:p>
    <w:p>
      <w:pPr>
        <w:pStyle w:val="BodyText"/>
      </w:pPr>
      <w:r>
        <w:t xml:space="preserve">Unit 1204, Ayala Avenue Towers, 1200 Philippines Manila, Metro Manila, Philippines</w:t>
      </w:r>
    </w:p>
    <w:p>
      <w:pPr>
        <w:pStyle w:val="BodyText"/>
      </w:pPr>
      <w:r>
        <w:t xml:space="preserve">Tel: +63 (2) 8855-4421 | Email: alexandra.reyes@reyesdesign.ph | TIN: 201-456-789-000</w:t>
      </w:r>
    </w:p>
    <w:p>
      <w:pPr>
        <w:pStyle w:val="BodyText"/>
      </w:pPr>
      <w:r>
        <w:t xml:space="preserve">Thank you for your business. This Invoice was generated electronically and is valid without a physical signature per Republic Act No. 11969 (E-Commerce Law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Philippines Manila</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