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ixelcraft-design-studio"/>
    <w:p>
      <w:pPr>
        <w:pStyle w:val="Heading1"/>
      </w:pPr>
      <w:r>
        <w:t xml:space="preserve">PixelCraft Design Studio</w:t>
      </w:r>
    </w:p>
    <w:p>
      <w:pPr>
        <w:pStyle w:val="FirstParagraph"/>
      </w:pPr>
      <w:r>
        <w:t xml:space="preserve">128 Sukhumvit Road, Soi 21</w:t>
      </w:r>
    </w:p>
    <w:p>
      <w:pPr>
        <w:pStyle w:val="BodyText"/>
      </w:pPr>
      <w:r>
        <w:t xml:space="preserve">Khlong Toei Nuea, Watthana</w:t>
      </w:r>
    </w:p>
    <w:p>
      <w:pPr>
        <w:pStyle w:val="BodyText"/>
      </w:pPr>
      <w:r>
        <w:t xml:space="preserve">Bangkok 10110, Thailand</w:t>
      </w:r>
    </w:p>
    <w:p>
      <w:pPr>
        <w:pStyle w:val="BodyText"/>
      </w:pPr>
      <w:r>
        <w:t xml:space="preserve">Tel: +66 (0) 2 255 8899</w:t>
      </w:r>
    </w:p>
    <w:p>
      <w:pPr>
        <w:pStyle w:val="BodyText"/>
      </w:pPr>
      <w:r>
        <w:t xml:space="preserve">Email: billing@pixelcraftdesign.co.th</w:t>
      </w:r>
    </w:p>
    <w:p>
      <w:pPr>
        <w:pStyle w:val="BodyText"/>
      </w:pPr>
      <w:r>
        <w:t xml:space="preserve">Tax ID: 0-1055-67890-12-3</w:t>
      </w:r>
    </w:p>
    <w:p>
      <w:pPr>
        <w:pStyle w:val="BodyText"/>
      </w:pPr>
      <w:r>
        <w:t xml:space="preserve">UX UI DESIGN SPECIALISTS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UXUI-BKK-2025-089</w:t>
      </w:r>
    </w:p>
    <w:p>
      <w:pPr>
        <w:pStyle w:val="BodyText"/>
      </w:pPr>
      <w:r>
        <w:rPr>
          <w:bCs/>
          <w:b/>
        </w:rPr>
        <w:t xml:space="preserve">Service Location:</w:t>
      </w:r>
      <w:r>
        <w:t xml:space="preserve"> </w:t>
      </w:r>
      <w:r>
        <w:t xml:space="preserve">Thailand Bangkok</w:t>
      </w:r>
    </w:p>
    <w:bookmarkEnd w:id="21"/>
    <w:bookmarkStart w:id="22" w:name="billed-to"/>
    <w:p>
      <w:pPr>
        <w:pStyle w:val="Heading3"/>
      </w:pPr>
      <w:r>
        <w:t xml:space="preserve">Billed To</w:t>
      </w:r>
    </w:p>
    <w:p>
      <w:pPr>
        <w:pStyle w:val="FirstParagraph"/>
      </w:pPr>
      <w:r>
        <w:rPr>
          <w:bCs/>
          <w:b/>
        </w:rPr>
        <w:t xml:space="preserve">Chaiyaphum Digital Solutions Co., Ltd.</w:t>
      </w:r>
    </w:p>
    <w:p>
      <w:pPr>
        <w:pStyle w:val="BodyText"/>
      </w:pPr>
      <w:r>
        <w:t xml:space="preserve">456 Rama IX Road, Bang Kapi</w:t>
      </w:r>
    </w:p>
    <w:p>
      <w:pPr>
        <w:pStyle w:val="BodyText"/>
      </w:pPr>
      <w:r>
        <w:t xml:space="preserve">Suwinthawapi, Bangkok 10240</w:t>
      </w:r>
    </w:p>
    <w:p>
      <w:pPr>
        <w:pStyle w:val="BodyText"/>
      </w:pPr>
      <w:r>
        <w:t xml:space="preserve">Thailand</w:t>
      </w:r>
    </w:p>
    <w:p>
      <w:pPr>
        <w:pStyle w:val="BodyText"/>
      </w:pPr>
      <w:r>
        <w:t xml:space="preserve">Attn: Mr. Somchai Prasert</w:t>
      </w:r>
    </w:p>
    <w:p>
      <w:pPr>
        <w:pStyle w:val="BodyText"/>
      </w:pPr>
      <w:r>
        <w:t xml:space="preserve">Email: somchai@chaiyaphumdigital.co.th</w:t>
      </w:r>
    </w:p>
    <w:p>
      <w:pPr>
        <w:pStyle w:val="BodyText"/>
      </w:pPr>
      <w:r>
        <w:t xml:space="preserve">Tax ID: 0-1055-11223-45-6</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UX UI Designer: Anong Chaiyasit</w:t>
      </w:r>
    </w:p>
    <w:p>
      <w:pPr>
        <w:pStyle w:val="BodyText"/>
      </w:pPr>
      <w:r>
        <w:t xml:space="preserve">Senior UX UI Designer: Pimchanok Rattana</w:t>
      </w:r>
    </w:p>
    <w:p>
      <w:pPr>
        <w:pStyle w:val="BodyText"/>
      </w:pPr>
      <w:r>
        <w:t xml:space="preserve">Service Area: Thailand Bangkok</w:t>
      </w:r>
    </w:p>
    <w:p>
      <w:pPr>
        <w:pStyle w:val="BodyText"/>
      </w:pPr>
      <w:r>
        <w:t xml:space="preserve">Engagement Period: 1 May 2025 – 31 May 2025</w:t>
      </w:r>
    </w:p>
    <w:p>
      <w:pPr>
        <w:pStyle w:val="BodyText"/>
      </w:pPr>
      <w:r>
        <w:t xml:space="preserve">Contract No.: CTR-UXUI-2025-034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Designer Services</w:t>
            </w:r>
          </w:p>
        </w:tc>
        <w:tc>
          <w:tcPr/>
          <w:p>
            <w:pPr>
              <w:pStyle w:val="Compact"/>
              <w:jc w:val="left"/>
            </w:pPr>
            <w:r>
              <w:t xml:space="preserve">Rate (THB)</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UX Research &amp; User Journey Mapping – Conducting in-depth user interviews, usability testing, and competitive analysis for the mobile banking application. Performed on-site in Thailand Bangkok office.</w:t>
            </w:r>
          </w:p>
        </w:tc>
        <w:tc>
          <w:tcPr/>
          <w:p>
            <w:pPr>
              <w:pStyle w:val="Compact"/>
              <w:jc w:val="left"/>
            </w:pPr>
            <w:r>
              <w:t xml:space="preserve">2,500</w:t>
            </w:r>
          </w:p>
        </w:tc>
        <w:tc>
          <w:tcPr/>
          <w:p>
            <w:pPr>
              <w:pStyle w:val="Compact"/>
              <w:jc w:val="left"/>
            </w:pPr>
            <w:r>
              <w:t xml:space="preserve">40</w:t>
            </w:r>
          </w:p>
        </w:tc>
        <w:tc>
          <w:tcPr/>
          <w:p>
            <w:pPr>
              <w:pStyle w:val="Compact"/>
              <w:jc w:val="left"/>
            </w:pPr>
            <w:r>
              <w:t xml:space="preserve">1</w:t>
            </w:r>
          </w:p>
        </w:tc>
        <w:tc>
          <w:tcPr/>
          <w:p>
            <w:pPr>
              <w:pStyle w:val="Compact"/>
              <w:jc w:val="left"/>
            </w:pPr>
            <w:r>
              <w:t xml:space="preserve">100,000.00</w:t>
            </w:r>
          </w:p>
        </w:tc>
      </w:tr>
      <w:tr>
        <w:tc>
          <w:tcPr/>
          <w:p>
            <w:pPr>
              <w:pStyle w:val="Compact"/>
              <w:jc w:val="left"/>
            </w:pPr>
            <w:r>
              <w:t xml:space="preserve">2</w:t>
            </w:r>
          </w:p>
        </w:tc>
        <w:tc>
          <w:tcPr/>
          <w:p>
            <w:pPr>
              <w:pStyle w:val="Compact"/>
              <w:jc w:val="left"/>
            </w:pPr>
            <w:r>
              <w:t xml:space="preserve">UI Design &amp; Visual Interface Development – Designing high-fidelity wireframes, interactive prototypes, and a complete design system including component library, typography, and color palette for web and mobile platforms.</w:t>
            </w:r>
          </w:p>
        </w:tc>
        <w:tc>
          <w:tcPr/>
          <w:p>
            <w:pPr>
              <w:pStyle w:val="Compact"/>
              <w:jc w:val="left"/>
            </w:pPr>
            <w:r>
              <w:t xml:space="preserve">2,800</w:t>
            </w:r>
          </w:p>
        </w:tc>
        <w:tc>
          <w:tcPr/>
          <w:p>
            <w:pPr>
              <w:pStyle w:val="Compact"/>
              <w:jc w:val="left"/>
            </w:pPr>
            <w:r>
              <w:t xml:space="preserve">60</w:t>
            </w:r>
          </w:p>
        </w:tc>
        <w:tc>
          <w:tcPr/>
          <w:p>
            <w:pPr>
              <w:pStyle w:val="Compact"/>
              <w:jc w:val="left"/>
            </w:pPr>
            <w:r>
              <w:t xml:space="preserve">1</w:t>
            </w:r>
          </w:p>
        </w:tc>
        <w:tc>
          <w:tcPr/>
          <w:p>
            <w:pPr>
              <w:pStyle w:val="Compact"/>
              <w:jc w:val="left"/>
            </w:pPr>
            <w:r>
              <w:t xml:space="preserve">168,000.00</w:t>
            </w:r>
          </w:p>
        </w:tc>
      </w:tr>
      <w:tr>
        <w:tc>
          <w:tcPr/>
          <w:p>
            <w:pPr>
              <w:pStyle w:val="Compact"/>
              <w:jc w:val="left"/>
            </w:pPr>
            <w:r>
              <w:t xml:space="preserve">3</w:t>
            </w:r>
          </w:p>
        </w:tc>
        <w:tc>
          <w:tcPr/>
          <w:p>
            <w:pPr>
              <w:pStyle w:val="Compact"/>
              <w:jc w:val="left"/>
            </w:pPr>
            <w:r>
              <w:t xml:space="preserve">UX UI Designer Consultation &amp; Strategy Workshop – Facilitating a two-day design thinking workshop with the client's product team in Thailand Bangkok to align on user personas, information architecture, and design principles.</w:t>
            </w:r>
          </w:p>
        </w:tc>
        <w:tc>
          <w:tcPr/>
          <w:p>
            <w:pPr>
              <w:pStyle w:val="Compact"/>
              <w:jc w:val="left"/>
            </w:pPr>
            <w:r>
              <w:t xml:space="preserve">15,000</w:t>
            </w:r>
          </w:p>
        </w:tc>
        <w:tc>
          <w:tcPr/>
          <w:p>
            <w:pPr>
              <w:pStyle w:val="Compact"/>
              <w:jc w:val="left"/>
            </w:pPr>
            <w:r>
              <w:t xml:space="preserve">16</w:t>
            </w:r>
          </w:p>
        </w:tc>
        <w:tc>
          <w:tcPr/>
          <w:p>
            <w:pPr>
              <w:pStyle w:val="Compact"/>
              <w:jc w:val="left"/>
            </w:pPr>
            <w:r>
              <w:t xml:space="preserve">1</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Responsive UI Implementation Support – Collaborating with the front-end development team to ensure pixel-perfect implementation of the UX UI Designer deliverables across all breakpoints and device types.</w:t>
            </w:r>
          </w:p>
        </w:tc>
        <w:tc>
          <w:tcPr/>
          <w:p>
            <w:pPr>
              <w:pStyle w:val="Compact"/>
              <w:jc w:val="left"/>
            </w:pPr>
            <w:r>
              <w:t xml:space="preserve">2,200</w:t>
            </w:r>
          </w:p>
        </w:tc>
        <w:tc>
          <w:tcPr/>
          <w:p>
            <w:pPr>
              <w:pStyle w:val="Compact"/>
              <w:jc w:val="left"/>
            </w:pPr>
            <w:r>
              <w:t xml:space="preserve">32</w:t>
            </w:r>
          </w:p>
        </w:tc>
        <w:tc>
          <w:tcPr/>
          <w:p>
            <w:pPr>
              <w:pStyle w:val="Compact"/>
              <w:jc w:val="left"/>
            </w:pPr>
            <w:r>
              <w:t xml:space="preserve">1</w:t>
            </w:r>
          </w:p>
        </w:tc>
        <w:tc>
          <w:tcPr/>
          <w:p>
            <w:pPr>
              <w:pStyle w:val="Compact"/>
              <w:jc w:val="left"/>
            </w:pPr>
            <w:r>
              <w:t xml:space="preserve">70,400.00</w:t>
            </w:r>
          </w:p>
        </w:tc>
      </w:tr>
      <w:tr>
        <w:tc>
          <w:tcPr/>
          <w:p>
            <w:pPr>
              <w:pStyle w:val="Compact"/>
              <w:jc w:val="left"/>
            </w:pPr>
            <w:r>
              <w:t xml:space="preserve">5</w:t>
            </w:r>
          </w:p>
        </w:tc>
        <w:tc>
          <w:tcPr/>
          <w:p>
            <w:pPr>
              <w:pStyle w:val="Compact"/>
              <w:jc w:val="left"/>
            </w:pPr>
            <w:r>
              <w:t xml:space="preserve">Usability Testing &amp; Iteration – Conducting moderated usability sessions with 12 participants in Thailand Bangkok, analyzing findings, and delivering two rounds of iterative design refinements.</w:t>
            </w:r>
          </w:p>
        </w:tc>
        <w:tc>
          <w:tcPr/>
          <w:p>
            <w:pPr>
              <w:pStyle w:val="Compact"/>
              <w:jc w:val="left"/>
            </w:pPr>
            <w:r>
              <w:t xml:space="preserve">3,000</w:t>
            </w:r>
          </w:p>
        </w:tc>
        <w:tc>
          <w:tcPr/>
          <w:p>
            <w:pPr>
              <w:pStyle w:val="Compact"/>
              <w:jc w:val="left"/>
            </w:pPr>
            <w:r>
              <w:t xml:space="preserve">24</w:t>
            </w:r>
          </w:p>
        </w:tc>
        <w:tc>
          <w:tcPr/>
          <w:p>
            <w:pPr>
              <w:pStyle w:val="Compact"/>
              <w:jc w:val="left"/>
            </w:pPr>
            <w:r>
              <w:t xml:space="preserve">1</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Design Documentation &amp; Handover Package – Preparing comprehensive UX UI Designer documentation including design tokens, interaction specifications, accessibility guidelines, and developer handover files.</w:t>
            </w:r>
          </w:p>
        </w:tc>
        <w:tc>
          <w:tcPr/>
          <w:p>
            <w:pPr>
              <w:pStyle w:val="Compact"/>
              <w:jc w:val="left"/>
            </w:pPr>
            <w:r>
              <w:t xml:space="preserve">2,000</w:t>
            </w:r>
          </w:p>
        </w:tc>
        <w:tc>
          <w:tcPr/>
          <w:p>
            <w:pPr>
              <w:pStyle w:val="Compact"/>
              <w:jc w:val="left"/>
            </w:pPr>
            <w:r>
              <w:t xml:space="preserve">16</w:t>
            </w:r>
          </w:p>
        </w:tc>
        <w:tc>
          <w:tcPr/>
          <w:p>
            <w:pPr>
              <w:pStyle w:val="Compact"/>
              <w:jc w:val="left"/>
            </w:pPr>
            <w:r>
              <w:t xml:space="preserve">1</w:t>
            </w:r>
          </w:p>
        </w:tc>
        <w:tc>
          <w:tcPr/>
          <w:p>
            <w:pPr>
              <w:pStyle w:val="Compact"/>
              <w:jc w:val="left"/>
            </w:pPr>
            <w:r>
              <w:t xml:space="preserve">32,000.00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682,400.00 THB</w:t>
            </w:r>
          </w:p>
        </w:tc>
      </w:tr>
      <w:tr>
        <w:tc>
          <w:tcPr/>
          <w:p>
            <w:pPr>
              <w:pStyle w:val="Compact"/>
              <w:jc w:val="left"/>
            </w:pPr>
            <w:r>
              <w:t xml:space="preserve">VAT (7% – Thailand Revenue Department)</w:t>
            </w:r>
          </w:p>
        </w:tc>
        <w:tc>
          <w:tcPr/>
          <w:p>
            <w:pPr>
              <w:pStyle w:val="Compact"/>
              <w:jc w:val="left"/>
            </w:pPr>
            <w:r>
              <w:t xml:space="preserve">47,768.00 THB</w:t>
            </w:r>
          </w:p>
        </w:tc>
      </w:tr>
      <w:tr>
        <w:tc>
          <w:tcPr/>
          <w:p>
            <w:pPr>
              <w:pStyle w:val="Compact"/>
              <w:jc w:val="left"/>
            </w:pPr>
            <w:r>
              <w:t xml:space="preserve">Withholding Tax (3% – Service Fee)</w:t>
            </w:r>
          </w:p>
        </w:tc>
        <w:tc>
          <w:tcPr/>
          <w:p>
            <w:pPr>
              <w:pStyle w:val="Compact"/>
              <w:jc w:val="left"/>
            </w:pPr>
            <w:r>
              <w:t xml:space="preserve">(20,472.00) THB</w:t>
            </w:r>
          </w:p>
        </w:tc>
      </w:tr>
      <w:tr>
        <w:tc>
          <w:tcPr/>
          <w:p>
            <w:pPr>
              <w:pStyle w:val="Compact"/>
              <w:jc w:val="left"/>
            </w:pPr>
            <w:r>
              <w:t xml:space="preserve">GRAND TOTAL DUE</w:t>
            </w:r>
          </w:p>
        </w:tc>
        <w:tc>
          <w:tcPr/>
          <w:p>
            <w:pPr>
              <w:pStyle w:val="Compact"/>
              <w:jc w:val="left"/>
            </w:pPr>
            <w:r>
              <w:t xml:space="preserve">709,696.00 THB</w:t>
            </w:r>
          </w:p>
        </w:tc>
      </w:tr>
    </w:tbl>
    <w:bookmarkStart w:id="24" w:name="payment-instructions"/>
    <w:p>
      <w:pPr>
        <w:pStyle w:val="Heading3"/>
      </w:pPr>
      <w:r>
        <w:t xml:space="preserve">Payment Instructions</w:t>
      </w:r>
    </w:p>
    <w:p>
      <w:pPr>
        <w:pStyle w:val="FirstParagraph"/>
      </w:pPr>
      <w:r>
        <w:t xml:space="preserve">This Invoice must be settled within 15 calendar days from the Invoice Date of 15 June 2025. Payment is due no later than 30 June 2025.</w:t>
      </w:r>
    </w:p>
    <w:p>
      <w:pPr>
        <w:pStyle w:val="BodyText"/>
      </w:pPr>
      <w:r>
        <w:rPr>
          <w:bCs/>
          <w:b/>
        </w:rPr>
        <w:t xml:space="preserve">Bank:</w:t>
      </w:r>
      <w:r>
        <w:t xml:space="preserve"> </w:t>
      </w:r>
      <w:r>
        <w:t xml:space="preserve">Siam Commercial Bank (SCB)</w:t>
      </w:r>
    </w:p>
    <w:p>
      <w:pPr>
        <w:pStyle w:val="BodyText"/>
      </w:pPr>
      <w:r>
        <w:rPr>
          <w:bCs/>
          <w:b/>
        </w:rPr>
        <w:t xml:space="preserve">Branch:</w:t>
      </w:r>
      <w:r>
        <w:t xml:space="preserve"> </w:t>
      </w:r>
      <w:r>
        <w:t xml:space="preserve">Sukhumvit 21 Branch, Bangkok, Thailand</w:t>
      </w:r>
    </w:p>
    <w:p>
      <w:pPr>
        <w:pStyle w:val="BodyText"/>
      </w:pPr>
      <w:r>
        <w:rPr>
          <w:bCs/>
          <w:b/>
        </w:rPr>
        <w:t xml:space="preserve">Account Name:</w:t>
      </w:r>
      <w:r>
        <w:t xml:space="preserve"> </w:t>
      </w:r>
      <w:r>
        <w:t xml:space="preserve">PixelCraft Design Studio Co., Ltd.</w:t>
      </w:r>
    </w:p>
    <w:p>
      <w:pPr>
        <w:pStyle w:val="BodyText"/>
      </w:pPr>
      <w:r>
        <w:rPr>
          <w:bCs/>
          <w:b/>
        </w:rPr>
        <w:t xml:space="preserve">Account No.:</w:t>
      </w:r>
      <w:r>
        <w:t xml:space="preserve"> </w:t>
      </w:r>
      <w:r>
        <w:t xml:space="preserve">111-2-34567-8</w:t>
      </w:r>
    </w:p>
    <w:p>
      <w:pPr>
        <w:pStyle w:val="BodyText"/>
      </w:pPr>
      <w:r>
        <w:rPr>
          <w:bCs/>
          <w:b/>
        </w:rPr>
        <w:t xml:space="preserve">SWIFT Code:</w:t>
      </w:r>
      <w:r>
        <w:t xml:space="preserve"> </w:t>
      </w:r>
      <w:r>
        <w:t xml:space="preserve">SIBLTHBK</w:t>
      </w:r>
    </w:p>
    <w:p>
      <w:pPr>
        <w:pStyle w:val="BodyText"/>
      </w:pPr>
      <w:r>
        <w:rPr>
          <w:bCs/>
          <w:b/>
        </w:rPr>
        <w:t xml:space="preserve">Reference:</w:t>
      </w:r>
      <w:r>
        <w:t xml:space="preserve"> </w:t>
      </w:r>
      <w:r>
        <w:t xml:space="preserve">Please cite Invoice No. PC-2025-0472 in all payment communications.</w:t>
      </w:r>
    </w:p>
    <w:p>
      <w:pPr>
        <w:pStyle w:val="BodyText"/>
      </w:pPr>
      <w:r>
        <w:rPr>
          <w:bCs/>
          <w:b/>
        </w:rPr>
        <w:t xml:space="preserve">Accepted Methods:</w:t>
      </w:r>
      <w:r>
        <w:t xml:space="preserve"> </w:t>
      </w:r>
      <w:r>
        <w:t xml:space="preserve">Bank Transfer (TFT), PromptPay, or Cheque payable to PixelCraft Design Studio Co., Ltd.</w:t>
      </w:r>
    </w:p>
    <w:bookmarkEnd w:id="24"/>
    <w:bookmarkStart w:id="25" w:name="invoice-notes-terms"/>
    <w:p>
      <w:pPr>
        <w:pStyle w:val="Heading3"/>
      </w:pPr>
      <w:r>
        <w:t xml:space="preserve">Invoice Notes &amp; Terms</w:t>
      </w:r>
    </w:p>
    <w:p>
      <w:pPr>
        <w:pStyle w:val="FirstParagraph"/>
      </w:pPr>
      <w:r>
        <w:t xml:space="preserve">1. This Invoice covers all UX UI Designer professional services rendered by PixelCraft Design Studio in Thailand Bangkok during the engagement period of 1 May 2025 to 31 May 2025. All deliverables have been accepted in writing by the client's project manager.</w:t>
      </w:r>
    </w:p>
    <w:p>
      <w:pPr>
        <w:pStyle w:val="BodyText"/>
      </w:pPr>
      <w:r>
        <w:t xml:space="preserve">2. The UX UI Designer team consisted of one Lead UX UI Designer and one Senior UX UI Designer, both based and operating in Thailand Bangkok. All on-site work was conducted at the client's premises in Bangkok, Thailand.</w:t>
      </w:r>
    </w:p>
    <w:p>
      <w:pPr>
        <w:pStyle w:val="BodyText"/>
      </w:pPr>
      <w:r>
        <w:t xml:space="preserve">3. All intellectual property rights to the final UX UI Designer deliverables, including but not limited to wireframes, prototypes, design systems, and interaction specifications, transfer to the client upon full and final payment of this Invoice.</w:t>
      </w:r>
    </w:p>
    <w:p>
      <w:pPr>
        <w:pStyle w:val="BodyText"/>
      </w:pPr>
      <w:r>
        <w:t xml:space="preserve">4. A late payment penalty of 1.5% per month will be applied to any outstanding balance after the due date, in accordance with Thai commercial law and the terms of Contract No. CTR-UXUI-2025-034.</w:t>
      </w:r>
    </w:p>
    <w:p>
      <w:pPr>
        <w:pStyle w:val="BodyText"/>
      </w:pPr>
      <w:r>
        <w:t xml:space="preserve">5. This Invoice is issued in compliance with the Royal Thai Revenue Department's electronic Invoice regulations. A VAT-registered electronic Invoice (e-Tax Invoice) is available upon request via the Thai government e-Tax Invoice portal.</w:t>
      </w:r>
    </w:p>
    <w:p>
      <w:pPr>
        <w:pStyle w:val="BodyText"/>
      </w:pPr>
      <w:r>
        <w:t xml:space="preserve">6. Any disputes arising from this Invoice shall be governed by the laws of Thailand and subject to the exclusive jurisdiction of the courts in Bangkok, Thailand.</w:t>
      </w:r>
    </w:p>
    <w:p>
      <w:pPr>
        <w:pStyle w:val="BodyText"/>
      </w:pPr>
      <w:r>
        <w:t xml:space="preserve">7. Please retain this Invoice for your company's accounting records. A duplicate copy may be requested from billing@pixelcraftdesign.co.th within 90 days of the Invoice Date.</w:t>
      </w:r>
    </w:p>
    <w:bookmarkEnd w:id="25"/>
    <w:p>
      <w:pPr>
        <w:pStyle w:val="BodyText"/>
      </w:pPr>
      <w:r>
        <w:rPr>
          <w:bCs/>
          <w:b/>
        </w:rPr>
        <w:t xml:space="preserve">PixelCraft Design Studio Co., Ltd.</w:t>
      </w:r>
      <w:r>
        <w:t xml:space="preserve"> </w:t>
      </w:r>
      <w:r>
        <w:t xml:space="preserve">– Professional UX UI Designer Services in Thailand Bangkok</w:t>
      </w:r>
    </w:p>
    <w:p>
      <w:pPr>
        <w:pStyle w:val="BodyText"/>
      </w:pPr>
      <w:r>
        <w:t xml:space="preserve">Registered Company No. 0105567890123 | VAT Reg. No. 0105567890123</w:t>
      </w:r>
    </w:p>
    <w:p>
      <w:pPr>
        <w:pStyle w:val="BodyText"/>
      </w:pPr>
      <w:r>
        <w:t xml:space="preserve">This Invoice was generated electronically on 15 June 2025. No signature is required for validity.</w:t>
      </w:r>
    </w:p>
    <w:p>
      <w:pPr>
        <w:pStyle w:val="BodyText"/>
      </w:pPr>
      <w:r>
        <w:t xml:space="preserve">Thank you for choosing our UX UI Designer services in Thailand Bangkok. We look forward to continuing our partnership.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Thailand Bangkok</dc:title>
  <dc:creator/>
  <dc:language>en</dc:language>
  <cp:keywords/>
  <dcterms:created xsi:type="dcterms:W3CDTF">2026-10-10T08:07:04Z</dcterms:created>
  <dcterms:modified xsi:type="dcterms:W3CDTF">2026-10-10T08:07:04Z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