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Invoice</w:t>
      </w:r>
      <w:r>
        <w:t xml:space="preserve"> </w:t>
      </w:r>
      <w:r>
        <w:t xml:space="preserve">-</w:t>
      </w:r>
      <w:r>
        <w:t xml:space="preserve"> </w:t>
      </w:r>
      <w:r>
        <w:t xml:space="preserve">Beijing,</w:t>
      </w:r>
      <w:r>
        <w:t xml:space="preserve"> </w:t>
      </w:r>
      <w:r>
        <w:t xml:space="preserve">China</w:t>
      </w:r>
    </w:p>
    <w:bookmarkStart w:id="20" w:name="invoice"/>
    <w:p>
      <w:pPr>
        <w:pStyle w:val="Heading1"/>
      </w:pPr>
      <w:r>
        <w:t xml:space="preserve">INVOICE</w:t>
      </w:r>
    </w:p>
    <w:p>
      <w:pPr>
        <w:pStyle w:val="FirstParagraph"/>
      </w:pPr>
      <w:r>
        <w:t xml:space="preserve">Beijing Capital Veterinary Medical Center | 北京首都兽医医疗中心</w:t>
      </w:r>
    </w:p>
    <w:p>
      <w:pPr>
        <w:pStyle w:val="BodyText"/>
      </w:pPr>
      <w:r>
        <w:t xml:space="preserve">Licensed Veterinarian Practice – China Beijing</w:t>
      </w:r>
    </w:p>
    <w:bookmarkEnd w:id="20"/>
    <w:bookmarkStart w:id="21" w:name="veterinarian-practice-details"/>
    <w:p>
      <w:pPr>
        <w:pStyle w:val="Heading3"/>
      </w:pPr>
      <w:r>
        <w:t xml:space="preserve">Veterinarian Practice Details</w:t>
      </w:r>
    </w:p>
    <w:p>
      <w:pPr>
        <w:pStyle w:val="FirstParagraph"/>
      </w:pPr>
      <w:r>
        <w:rPr>
          <w:bCs/>
          <w:b/>
        </w:rPr>
        <w:t xml:space="preserve">Beijing Capital Veterinary Medical Center</w:t>
      </w:r>
    </w:p>
    <w:p>
      <w:pPr>
        <w:pStyle w:val="BodyText"/>
      </w:pPr>
      <w:r>
        <w:t xml:space="preserve">Address: No. 88, Chaoyang District, Beijing, China 100020</w:t>
      </w:r>
    </w:p>
    <w:p>
      <w:pPr>
        <w:pStyle w:val="BodyText"/>
      </w:pPr>
      <w:r>
        <w:t xml:space="preserve">Telephone: +86-10-6588-2200</w:t>
      </w:r>
    </w:p>
    <w:p>
      <w:pPr>
        <w:pStyle w:val="BodyText"/>
      </w:pPr>
      <w:r>
        <w:t xml:space="preserve">Email: billing@bjcapvet.cn</w:t>
      </w:r>
    </w:p>
    <w:p>
      <w:pPr>
        <w:pStyle w:val="BodyText"/>
      </w:pPr>
      <w:r>
        <w:t xml:space="preserve">Unified Social Credit Code: 91110105MA01KX7T2B</w:t>
      </w:r>
    </w:p>
    <w:p>
      <w:pPr>
        <w:pStyle w:val="BodyText"/>
      </w:pPr>
      <w:r>
        <w:t xml:space="preserve">Veterinarian License No.: BJ-VET-2019-04471</w:t>
      </w:r>
    </w:p>
    <w:p>
      <w:pPr>
        <w:pStyle w:val="BodyText"/>
      </w:pPr>
      <w:r>
        <w:t xml:space="preserve">Lead Veterinarian: Dr. Wei Zhang, DVM, PhD</w:t>
      </w:r>
    </w:p>
    <w:bookmarkEnd w:id="21"/>
    <w:bookmarkStart w:id="22" w:name="pet-owner-client-details"/>
    <w:p>
      <w:pPr>
        <w:pStyle w:val="Heading3"/>
      </w:pPr>
      <w:r>
        <w:t xml:space="preserve">Pet Owner / Client Details</w:t>
      </w:r>
    </w:p>
    <w:p>
      <w:pPr>
        <w:pStyle w:val="FirstParagraph"/>
      </w:pPr>
      <w:r>
        <w:rPr>
          <w:bCs/>
          <w:b/>
        </w:rPr>
        <w:t xml:space="preserve">Mr. Liang Chen</w:t>
      </w:r>
    </w:p>
    <w:p>
      <w:pPr>
        <w:pStyle w:val="BodyText"/>
      </w:pPr>
      <w:r>
        <w:t xml:space="preserve">Address: Apt 1203, Building 5, Haidian District, Beijing, China 100089</w:t>
      </w:r>
    </w:p>
    <w:p>
      <w:pPr>
        <w:pStyle w:val="BodyText"/>
      </w:pPr>
      <w:r>
        <w:t xml:space="preserve">Telephone: +86-138-0012-5678</w:t>
      </w:r>
    </w:p>
    <w:p>
      <w:pPr>
        <w:pStyle w:val="BodyText"/>
      </w:pPr>
      <w:r>
        <w:t xml:space="preserve">ID Number: 11010819850312****</w:t>
      </w:r>
    </w:p>
    <w:p>
      <w:pPr>
        <w:pStyle w:val="BodyText"/>
      </w:pPr>
      <w:r>
        <w:t xml:space="preserve">Email: liang.chen@email.cn</w:t>
      </w:r>
    </w:p>
    <w:bookmarkEnd w:id="22"/>
    <w:p>
      <w:pPr>
        <w:pStyle w:val="BodyText"/>
      </w:pPr>
      <w:r>
        <w:rPr>
          <w:bCs/>
          <w:b/>
        </w:rPr>
        <w:t xml:space="preserve">Invoice Number:</w:t>
      </w:r>
      <w:r>
        <w:t xml:space="preserve"> </w:t>
      </w:r>
      <w:r>
        <w:t xml:space="preserve">BJCVM-2025-06-00342   |  </w:t>
      </w:r>
      <w:r>
        <w:t xml:space="preserve"> </w:t>
      </w:r>
      <w:r>
        <w:rPr>
          <w:bCs/>
          <w:b/>
        </w:rPr>
        <w:t xml:space="preserve">Invoice Date:</w:t>
      </w:r>
      <w:r>
        <w:t xml:space="preserve"> </w:t>
      </w:r>
      <w:r>
        <w:t xml:space="preserve">June 15, 2025</w:t>
      </w:r>
    </w:p>
    <w:p>
      <w:pPr>
        <w:pStyle w:val="BodyText"/>
      </w:pPr>
      <w:r>
        <w:rPr>
          <w:bCs/>
          <w:b/>
        </w:rPr>
        <w:t xml:space="preserve">Service Date:</w:t>
      </w:r>
      <w:r>
        <w:t xml:space="preserve"> </w:t>
      </w:r>
      <w:r>
        <w:t xml:space="preserve">June 14, 2025   |  </w:t>
      </w:r>
      <w:r>
        <w:t xml:space="preserve"> </w:t>
      </w:r>
      <w:r>
        <w:rPr>
          <w:bCs/>
          <w:b/>
        </w:rPr>
        <w:t xml:space="preserve">Due Date:</w:t>
      </w:r>
      <w:r>
        <w:t xml:space="preserve"> </w:t>
      </w:r>
      <w:r>
        <w:t xml:space="preserve">June 29, 2025</w:t>
      </w:r>
    </w:p>
    <w:p>
      <w:pPr>
        <w:pStyle w:val="BodyText"/>
      </w:pPr>
      <w:r>
        <w:rPr>
          <w:bCs/>
          <w:b/>
        </w:rPr>
        <w:t xml:space="preserve">Payment Status:</w:t>
      </w:r>
      <w:r>
        <w:t xml:space="preserve"> </w:t>
      </w:r>
      <w:r>
        <w:t xml:space="preserve">PENDING</w:t>
      </w:r>
      <w:r>
        <w:t xml:space="preserve"> </w:t>
      </w:r>
      <w:r>
        <w:t xml:space="preserve">  |  </w:t>
      </w:r>
      <w:r>
        <w:t xml:space="preserve"> </w:t>
      </w:r>
      <w:r>
        <w:rPr>
          <w:bCs/>
          <w:b/>
        </w:rPr>
        <w:t xml:space="preserve">Currency:</w:t>
      </w:r>
      <w:r>
        <w:t xml:space="preserve"> </w:t>
      </w:r>
      <w:r>
        <w:t xml:space="preserve">CNY (Chinese Yuan / RMB)</w:t>
      </w:r>
    </w:p>
    <w:bookmarkStart w:id="23" w:name="pet-information"/>
    <w:p>
      <w:pPr>
        <w:pStyle w:val="Heading3"/>
      </w:pPr>
      <w:r>
        <w:t xml:space="preserve">Pet Information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Pet Name</w:t>
            </w:r>
          </w:p>
        </w:tc>
        <w:tc>
          <w:tcPr/>
          <w:p>
            <w:pPr>
              <w:pStyle w:val="Compact"/>
              <w:jc w:val="left"/>
            </w:pPr>
            <w:r>
              <w:t xml:space="preserve">Species / Breed</w:t>
            </w:r>
          </w:p>
        </w:tc>
        <w:tc>
          <w:tcPr/>
          <w:p>
            <w:pPr>
              <w:pStyle w:val="Compact"/>
              <w:jc w:val="left"/>
            </w:pPr>
            <w:r>
              <w:t xml:space="preserve">Age</w:t>
            </w:r>
          </w:p>
        </w:tc>
        <w:tc>
          <w:tcPr/>
          <w:p>
            <w:pPr>
              <w:pStyle w:val="Compact"/>
              <w:jc w:val="left"/>
            </w:pPr>
            <w:r>
              <w:t xml:space="preserve">Weight</w:t>
            </w:r>
          </w:p>
        </w:tc>
        <w:tc>
          <w:tcPr/>
          <w:p>
            <w:pPr>
              <w:pStyle w:val="Compact"/>
              <w:jc w:val="left"/>
            </w:pPr>
            <w:r>
              <w:t xml:space="preserve">Microchip ID</w:t>
            </w:r>
          </w:p>
        </w:tc>
        <w:tc>
          <w:tcPr/>
          <w:p>
            <w:pPr>
              <w:pStyle w:val="Compact"/>
              <w:jc w:val="left"/>
            </w:pPr>
            <w:r>
              <w:t xml:space="preserve">Owner</w:t>
            </w:r>
          </w:p>
        </w:tc>
      </w:tr>
      <w:tr>
        <w:tc>
          <w:tcPr/>
          <w:p>
            <w:pPr>
              <w:pStyle w:val="Compact"/>
              <w:jc w:val="left"/>
            </w:pPr>
            <w:r>
              <w:t xml:space="preserve">Bao Bao (宝宝)</w:t>
            </w:r>
          </w:p>
        </w:tc>
        <w:tc>
          <w:tcPr/>
          <w:p>
            <w:pPr>
              <w:pStyle w:val="Compact"/>
              <w:jc w:val="left"/>
            </w:pPr>
            <w:r>
              <w:t xml:space="preserve">Canine – Golden Retriever</w:t>
            </w:r>
          </w:p>
        </w:tc>
        <w:tc>
          <w:tcPr/>
          <w:p>
            <w:pPr>
              <w:pStyle w:val="Compact"/>
              <w:jc w:val="left"/>
            </w:pPr>
            <w:r>
              <w:t xml:space="preserve">4 years</w:t>
            </w:r>
          </w:p>
        </w:tc>
        <w:tc>
          <w:tcPr/>
          <w:p>
            <w:pPr>
              <w:pStyle w:val="Compact"/>
              <w:jc w:val="left"/>
            </w:pPr>
            <w:r>
              <w:t xml:space="preserve">31.5 kg</w:t>
            </w:r>
          </w:p>
        </w:tc>
        <w:tc>
          <w:tcPr/>
          <w:p>
            <w:pPr>
              <w:pStyle w:val="Compact"/>
              <w:jc w:val="left"/>
            </w:pPr>
            <w:r>
              <w:t xml:space="preserve">152-003-884-221-007</w:t>
            </w:r>
          </w:p>
        </w:tc>
        <w:tc>
          <w:tcPr/>
          <w:p>
            <w:pPr>
              <w:pStyle w:val="Compact"/>
              <w:jc w:val="left"/>
            </w:pPr>
            <w:r>
              <w:t xml:space="preserve">Mr. Liang Chen</w:t>
            </w:r>
          </w:p>
        </w:tc>
      </w:tr>
    </w:tbl>
    <w:bookmarkEnd w:id="23"/>
    <w:bookmarkStart w:id="24" w:name="itemized-services-and-charges"/>
    <w:p>
      <w:pPr>
        <w:pStyle w:val="Heading3"/>
      </w:pPr>
      <w:r>
        <w:t xml:space="preserve">Itemized Services and Charges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 #</w:t>
            </w:r>
          </w:p>
        </w:tc>
        <w:tc>
          <w:tcPr/>
          <w:p>
            <w:pPr>
              <w:pStyle w:val="Compact"/>
              <w:jc w:val="left"/>
            </w:pPr>
            <w:r>
              <w:t xml:space="preserve">Description of Veterinary Service</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001</w:t>
            </w:r>
          </w:p>
        </w:tc>
        <w:tc>
          <w:tcPr/>
          <w:p>
            <w:pPr>
              <w:pStyle w:val="Compact"/>
              <w:jc w:val="left"/>
            </w:pPr>
            <w:r>
              <w:t xml:space="preserve">Comprehensive physical examination and diagnostic consultation by lead Veterinarian Dr. Wei Zhang</w:t>
            </w:r>
          </w:p>
        </w:tc>
        <w:tc>
          <w:tcPr/>
          <w:p>
            <w:pPr>
              <w:pStyle w:val="Compact"/>
              <w:jc w:val="left"/>
            </w:pPr>
            <w:r>
              <w:t xml:space="preserve">Consultation</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002</w:t>
            </w:r>
          </w:p>
        </w:tc>
        <w:tc>
          <w:tcPr/>
          <w:p>
            <w:pPr>
              <w:pStyle w:val="Compact"/>
              <w:jc w:val="left"/>
            </w:pPr>
            <w:r>
              <w:t xml:space="preserve">Full blood panel (CBC, biochemistry, urinalysis) – in-house laboratory at China Beijing facility</w:t>
            </w:r>
          </w:p>
        </w:tc>
        <w:tc>
          <w:tcPr/>
          <w:p>
            <w:pPr>
              <w:pStyle w:val="Compact"/>
              <w:jc w:val="left"/>
            </w:pPr>
            <w:r>
              <w:t xml:space="preserve">Diagnostics</w:t>
            </w:r>
          </w:p>
        </w:tc>
        <w:tc>
          <w:tcPr/>
          <w:p>
            <w:pPr>
              <w:pStyle w:val="Compact"/>
              <w:jc w:val="left"/>
            </w:pPr>
            <w:r>
              <w:t xml:space="preserve">1</w:t>
            </w:r>
          </w:p>
        </w:tc>
        <w:tc>
          <w:tcPr/>
          <w:p>
            <w:pPr>
              <w:pStyle w:val="Compact"/>
              <w:jc w:val="left"/>
            </w:pPr>
            <w:r>
              <w:t xml:space="preserve">680.00</w:t>
            </w:r>
          </w:p>
        </w:tc>
        <w:tc>
          <w:tcPr/>
          <w:p>
            <w:pPr>
              <w:pStyle w:val="Compact"/>
              <w:jc w:val="left"/>
            </w:pPr>
            <w:r>
              <w:t xml:space="preserve">680.00</w:t>
            </w:r>
          </w:p>
        </w:tc>
      </w:tr>
      <w:tr>
        <w:tc>
          <w:tcPr/>
          <w:p>
            <w:pPr>
              <w:pStyle w:val="Compact"/>
              <w:jc w:val="left"/>
            </w:pPr>
            <w:r>
              <w:t xml:space="preserve">003</w:t>
            </w:r>
          </w:p>
        </w:tc>
        <w:tc>
          <w:tcPr/>
          <w:p>
            <w:pPr>
              <w:pStyle w:val="Compact"/>
              <w:jc w:val="left"/>
            </w:pPr>
            <w:r>
              <w:t xml:space="preserve">Digital radiography (X-ray) – thoracic and abdominal views, 2 projections</w:t>
            </w:r>
          </w:p>
        </w:tc>
        <w:tc>
          <w:tcPr/>
          <w:p>
            <w:pPr>
              <w:pStyle w:val="Compact"/>
              <w:jc w:val="left"/>
            </w:pPr>
            <w:r>
              <w:t xml:space="preserve">Imaging</w:t>
            </w:r>
          </w:p>
        </w:tc>
        <w:tc>
          <w:tcPr/>
          <w:p>
            <w:pPr>
              <w:pStyle w:val="Compact"/>
              <w:jc w:val="left"/>
            </w:pPr>
            <w:r>
              <w:t xml:space="preserve">2</w:t>
            </w:r>
          </w:p>
        </w:tc>
        <w:tc>
          <w:tcPr/>
          <w:p>
            <w:pPr>
              <w:pStyle w:val="Compact"/>
              <w:jc w:val="left"/>
            </w:pPr>
            <w:r>
              <w:t xml:space="preserve">420.00</w:t>
            </w:r>
          </w:p>
        </w:tc>
        <w:tc>
          <w:tcPr/>
          <w:p>
            <w:pPr>
              <w:pStyle w:val="Compact"/>
              <w:jc w:val="left"/>
            </w:pPr>
            <w:r>
              <w:t xml:space="preserve">840.00</w:t>
            </w:r>
          </w:p>
        </w:tc>
      </w:tr>
      <w:tr>
        <w:tc>
          <w:tcPr/>
          <w:p>
            <w:pPr>
              <w:pStyle w:val="Compact"/>
              <w:jc w:val="left"/>
            </w:pPr>
            <w:r>
              <w:t xml:space="preserve">004</w:t>
            </w:r>
          </w:p>
        </w:tc>
        <w:tc>
          <w:tcPr/>
          <w:p>
            <w:pPr>
              <w:pStyle w:val="Compact"/>
              <w:jc w:val="left"/>
            </w:pPr>
            <w:r>
              <w:t xml:space="preserve">Abdominal ultrasound examination with detailed report by veterinary radiologist</w:t>
            </w:r>
          </w:p>
        </w:tc>
        <w:tc>
          <w:tcPr/>
          <w:p>
            <w:pPr>
              <w:pStyle w:val="Compact"/>
              <w:jc w:val="left"/>
            </w:pPr>
            <w:r>
              <w:t xml:space="preserve">Imaging</w:t>
            </w:r>
          </w:p>
        </w:tc>
        <w:tc>
          <w:tcPr/>
          <w:p>
            <w:pPr>
              <w:pStyle w:val="Compact"/>
              <w:jc w:val="left"/>
            </w:pPr>
            <w:r>
              <w:t xml:space="preserve">1</w:t>
            </w:r>
          </w:p>
        </w:tc>
        <w:tc>
          <w:tcPr/>
          <w:p>
            <w:pPr>
              <w:pStyle w:val="Compact"/>
              <w:jc w:val="left"/>
            </w:pPr>
            <w:r>
              <w:t xml:space="preserve">550.00</w:t>
            </w:r>
          </w:p>
        </w:tc>
        <w:tc>
          <w:tcPr/>
          <w:p>
            <w:pPr>
              <w:pStyle w:val="Compact"/>
              <w:jc w:val="left"/>
            </w:pPr>
            <w:r>
              <w:t xml:space="preserve">550.00</w:t>
            </w:r>
          </w:p>
        </w:tc>
      </w:tr>
      <w:tr>
        <w:tc>
          <w:tcPr/>
          <w:p>
            <w:pPr>
              <w:pStyle w:val="Compact"/>
              <w:jc w:val="left"/>
            </w:pPr>
            <w:r>
              <w:t xml:space="preserve">005</w:t>
            </w:r>
          </w:p>
        </w:tc>
        <w:tc>
          <w:tcPr/>
          <w:p>
            <w:pPr>
              <w:pStyle w:val="Compact"/>
              <w:jc w:val="left"/>
            </w:pPr>
            <w:r>
              <w:t xml:space="preserve">Orthopedic surgical procedure: Total Hip Replacement (THR) – right hind limb, including anesthesia and post-operative monitoring</w:t>
            </w:r>
          </w:p>
        </w:tc>
        <w:tc>
          <w:tcPr/>
          <w:p>
            <w:pPr>
              <w:pStyle w:val="Compact"/>
              <w:jc w:val="left"/>
            </w:pPr>
            <w:r>
              <w:t xml:space="preserve">Surgery</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006</w:t>
            </w:r>
          </w:p>
        </w:tc>
        <w:tc>
          <w:tcPr/>
          <w:p>
            <w:pPr>
              <w:pStyle w:val="Compact"/>
              <w:jc w:val="left"/>
            </w:pPr>
            <w:r>
              <w:t xml:space="preserve">General anesthesia (isoflurane-based protocol) with continuous intraoperative monitoring</w:t>
            </w:r>
          </w:p>
        </w:tc>
        <w:tc>
          <w:tcPr/>
          <w:p>
            <w:pPr>
              <w:pStyle w:val="Compact"/>
              <w:jc w:val="left"/>
            </w:pPr>
            <w:r>
              <w:t xml:space="preserve">Anesthesia</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007</w:t>
            </w:r>
          </w:p>
        </w:tc>
        <w:tc>
          <w:tcPr/>
          <w:p>
            <w:pPr>
              <w:pStyle w:val="Compact"/>
              <w:jc w:val="left"/>
            </w:pPr>
            <w:r>
              <w:t xml:space="preserve">Post-operative hospitalization – 3 nights including IV fluid therapy, pain management, and wound care</w:t>
            </w:r>
          </w:p>
        </w:tc>
        <w:tc>
          <w:tcPr/>
          <w:p>
            <w:pPr>
              <w:pStyle w:val="Compact"/>
              <w:jc w:val="left"/>
            </w:pPr>
            <w:r>
              <w:t xml:space="preserve">Hospitalization</w:t>
            </w:r>
          </w:p>
        </w:tc>
        <w:tc>
          <w:tcPr/>
          <w:p>
            <w:pPr>
              <w:pStyle w:val="Compact"/>
              <w:jc w:val="left"/>
            </w:pPr>
            <w:r>
              <w:t xml:space="preserve">3</w:t>
            </w:r>
          </w:p>
        </w:tc>
        <w:tc>
          <w:tcPr/>
          <w:p>
            <w:pPr>
              <w:pStyle w:val="Compact"/>
              <w:jc w:val="left"/>
            </w:pPr>
            <w:r>
              <w:t xml:space="preserve">850.00</w:t>
            </w:r>
          </w:p>
        </w:tc>
        <w:tc>
          <w:tcPr/>
          <w:p>
            <w:pPr>
              <w:pStyle w:val="Compact"/>
              <w:jc w:val="left"/>
            </w:pPr>
            <w:r>
              <w:t xml:space="preserve">2,550.00</w:t>
            </w:r>
          </w:p>
        </w:tc>
      </w:tr>
      <w:tr>
        <w:tc>
          <w:tcPr/>
          <w:p>
            <w:pPr>
              <w:pStyle w:val="Compact"/>
              <w:jc w:val="left"/>
            </w:pPr>
            <w:r>
              <w:t xml:space="preserve">008</w:t>
            </w:r>
          </w:p>
        </w:tc>
        <w:tc>
          <w:tcPr/>
          <w:p>
            <w:pPr>
              <w:pStyle w:val="Compact"/>
              <w:jc w:val="left"/>
            </w:pPr>
            <w:r>
              <w:t xml:space="preserve">Prescribed post-operative medication: Carprofen 75mg (30 tablets), Gabapentin 100mg (30 capsules), and joint supplement (Glucosamine/Chondroitin, 60 capsules)</w:t>
            </w:r>
          </w:p>
        </w:tc>
        <w:tc>
          <w:tcPr/>
          <w:p>
            <w:pPr>
              <w:pStyle w:val="Compact"/>
              <w:jc w:val="left"/>
            </w:pPr>
            <w:r>
              <w:t xml:space="preserve">Pharmacy</w:t>
            </w:r>
          </w:p>
        </w:tc>
        <w:tc>
          <w:tcPr/>
          <w:p>
            <w:pPr>
              <w:pStyle w:val="Compact"/>
              <w:jc w:val="left"/>
            </w:pPr>
            <w:r>
              <w:t xml:space="preserve">1</w:t>
            </w:r>
          </w:p>
        </w:tc>
        <w:tc>
          <w:tcPr/>
          <w:p>
            <w:pPr>
              <w:pStyle w:val="Compact"/>
              <w:jc w:val="left"/>
            </w:pPr>
            <w:r>
              <w:t xml:space="preserve">485.00</w:t>
            </w:r>
          </w:p>
        </w:tc>
        <w:tc>
          <w:tcPr/>
          <w:p>
            <w:pPr>
              <w:pStyle w:val="Compact"/>
              <w:jc w:val="left"/>
            </w:pPr>
            <w:r>
              <w:t xml:space="preserve">485.00</w:t>
            </w:r>
          </w:p>
        </w:tc>
      </w:tr>
      <w:tr>
        <w:tc>
          <w:tcPr/>
          <w:p>
            <w:pPr>
              <w:pStyle w:val="Compact"/>
              <w:jc w:val="left"/>
            </w:pPr>
            <w:r>
              <w:t xml:space="preserve">009</w:t>
            </w:r>
          </w:p>
        </w:tc>
        <w:tc>
          <w:tcPr/>
          <w:p>
            <w:pPr>
              <w:pStyle w:val="Compact"/>
              <w:jc w:val="left"/>
            </w:pPr>
            <w:r>
              <w:t xml:space="preserve">Follow-up post-operative examination and suture removal (scheduled 14 days post-surgery)</w:t>
            </w:r>
          </w:p>
        </w:tc>
        <w:tc>
          <w:tcPr/>
          <w:p>
            <w:pPr>
              <w:pStyle w:val="Compact"/>
              <w:jc w:val="left"/>
            </w:pPr>
            <w:r>
              <w:t xml:space="preserve">Follow-up</w:t>
            </w:r>
          </w:p>
        </w:tc>
        <w:tc>
          <w:tcPr/>
          <w:p>
            <w:pPr>
              <w:pStyle w:val="Compact"/>
              <w:jc w:val="left"/>
            </w:pPr>
            <w:r>
              <w:t xml:space="preserve">1</w:t>
            </w:r>
          </w:p>
        </w:tc>
        <w:tc>
          <w:tcPr/>
          <w:p>
            <w:pPr>
              <w:pStyle w:val="Compact"/>
              <w:jc w:val="left"/>
            </w:pPr>
            <w:r>
              <w:t xml:space="preserve">200.00</w:t>
            </w:r>
          </w:p>
        </w:tc>
        <w:tc>
          <w:tcPr/>
          <w:p>
            <w:pPr>
              <w:pStyle w:val="Compact"/>
              <w:jc w:val="left"/>
            </w:pPr>
            <w:r>
              <w:t xml:space="preserve">200.00</w:t>
            </w:r>
          </w:p>
        </w:tc>
      </w:tr>
      <w:tr>
        <w:tc>
          <w:tcPr/>
          <w:p>
            <w:pPr>
              <w:pStyle w:val="Compact"/>
              <w:jc w:val="left"/>
            </w:pPr>
            <w:r>
              <w:t xml:space="preserve">010</w:t>
            </w:r>
          </w:p>
        </w:tc>
        <w:tc>
          <w:tcPr/>
          <w:p>
            <w:pPr>
              <w:pStyle w:val="Compact"/>
              <w:jc w:val="left"/>
            </w:pPr>
            <w:r>
              <w:t xml:space="preserve">Orthopedic recovery brace (custom-fitted) and physiotherapy guidance booklet</w:t>
            </w:r>
          </w:p>
        </w:tc>
        <w:tc>
          <w:tcPr/>
          <w:p>
            <w:pPr>
              <w:pStyle w:val="Compact"/>
              <w:jc w:val="left"/>
            </w:pPr>
            <w:r>
              <w:t xml:space="preserve">Supplies</w:t>
            </w:r>
          </w:p>
        </w:tc>
        <w:tc>
          <w:tcPr/>
          <w:p>
            <w:pPr>
              <w:pStyle w:val="Compact"/>
              <w:jc w:val="left"/>
            </w:pPr>
            <w:r>
              <w:t xml:space="preserve">1</w:t>
            </w:r>
          </w:p>
        </w:tc>
        <w:tc>
          <w:tcPr/>
          <w:p>
            <w:pPr>
              <w:pStyle w:val="Compact"/>
              <w:jc w:val="left"/>
            </w:pPr>
            <w:r>
              <w:t xml:space="preserve">620.00</w:t>
            </w:r>
          </w:p>
        </w:tc>
        <w:tc>
          <w:tcPr/>
          <w:p>
            <w:pPr>
              <w:pStyle w:val="Compact"/>
              <w:jc w:val="left"/>
            </w:pPr>
            <w:r>
              <w:t xml:space="preserve">620.00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¥ 27,975.00</w:t>
            </w:r>
          </w:p>
        </w:tc>
      </w:tr>
      <w:tr>
        <w:tc>
          <w:tcPr/>
          <w:p>
            <w:pPr>
              <w:pStyle w:val="Compact"/>
              <w:jc w:val="left"/>
            </w:pPr>
            <w:r>
              <w:t xml:space="preserve">VAT (6% – Medical Services, China Beijing)</w:t>
            </w:r>
          </w:p>
        </w:tc>
        <w:tc>
          <w:tcPr/>
          <w:p>
            <w:pPr>
              <w:pStyle w:val="Compact"/>
              <w:jc w:val="right"/>
            </w:pPr>
            <w:r>
              <w:t xml:space="preserve">¥ 1,678.50</w:t>
            </w:r>
          </w:p>
        </w:tc>
      </w:tr>
      <w:tr>
        <w:tc>
          <w:tcPr/>
          <w:p>
            <w:pPr>
              <w:pStyle w:val="Compact"/>
              <w:jc w:val="left"/>
            </w:pPr>
            <w:r>
              <w:t xml:space="preserve">Insurance Deductible Applied (PICC Pet Plan)</w:t>
            </w:r>
          </w:p>
        </w:tc>
        <w:tc>
          <w:tcPr/>
          <w:p>
            <w:pPr>
              <w:pStyle w:val="Compact"/>
              <w:jc w:val="right"/>
            </w:pPr>
            <w:r>
              <w:t xml:space="preserve">-¥ 5,000.00</w:t>
            </w:r>
          </w:p>
        </w:tc>
      </w:tr>
      <w:tr>
        <w:tc>
          <w:tcPr/>
          <w:p>
            <w:pPr>
              <w:pStyle w:val="Compact"/>
              <w:jc w:val="left"/>
            </w:pPr>
            <w:r>
              <w:t xml:space="preserve">GRAND TOTAL DUE</w:t>
            </w:r>
          </w:p>
        </w:tc>
        <w:tc>
          <w:tcPr/>
          <w:p>
            <w:pPr>
              <w:pStyle w:val="Compact"/>
              <w:jc w:val="right"/>
            </w:pPr>
            <w:r>
              <w:t xml:space="preserve">¥ 24,653.50</w:t>
            </w:r>
          </w:p>
        </w:tc>
      </w:tr>
    </w:tbl>
    <w:bookmarkEnd w:id="24"/>
    <w:bookmarkStart w:id="25" w:name="payment-terms-and-important-notes"/>
    <w:p>
      <w:pPr>
        <w:pStyle w:val="Heading3"/>
      </w:pPr>
      <w:r>
        <w:t xml:space="preserve">Payment Terms and Important Notes</w:t>
      </w:r>
    </w:p>
    <w:p>
      <w:pPr>
        <w:pStyle w:val="FirstParagraph"/>
      </w:pPr>
      <w:r>
        <w:rPr>
          <w:bCs/>
          <w:b/>
        </w:rPr>
        <w:t xml:space="preserve">1.</w:t>
      </w:r>
      <w:r>
        <w:t xml:space="preserve"> </w:t>
      </w:r>
      <w:r>
        <w:t xml:space="preserve">This Invoice is issued by Beijing Capital Veterinary Medical Center, a registered and licensed Veterinarian practice operating under the regulations of the Beijing Municipal Commission of Agriculture and Rural Affairs, China Beijing. All services rendered comply with the Veterinary Drug Administration Regulations of the People's Republic of China.</w:t>
      </w:r>
    </w:p>
    <w:p>
      <w:pPr>
        <w:pStyle w:val="BodyText"/>
      </w:pPr>
      <w:r>
        <w:rPr>
          <w:bCs/>
          <w:b/>
        </w:rPr>
        <w:t xml:space="preserve">2.</w:t>
      </w:r>
      <w:r>
        <w:t xml:space="preserve"> </w:t>
      </w:r>
      <w:r>
        <w:t xml:space="preserve">Payment is due within fourteen (14) calendar days from the Invoice date. Accepted payment methods include: UnionPay bank transfer, Alipay, WeChat Pay, and cash (RMB only). For corporate or institutional clients, a formal remittance to our bank account at ICBC Beijing Chaoyang Branch (Account: 0200 0045 0908 8812 345) is preferred.</w:t>
      </w:r>
    </w:p>
    <w:p>
      <w:pPr>
        <w:pStyle w:val="BodyText"/>
      </w:pPr>
      <w:r>
        <w:rPr>
          <w:bCs/>
          <w:b/>
        </w:rPr>
        <w:t xml:space="preserve">3.</w:t>
      </w:r>
      <w:r>
        <w:t xml:space="preserve"> </w:t>
      </w:r>
      <w:r>
        <w:t xml:space="preserve">The VAT rate of 6% applied on this Invoice is in accordance with the Value-Added Tax Law of the People's Republic of China for medical and veterinary services. A VAT special invoice (fapiao) will be issued upon request for tax deduction purposes.</w:t>
      </w:r>
    </w:p>
    <w:p>
      <w:pPr>
        <w:pStyle w:val="BodyText"/>
      </w:pPr>
      <w:r>
        <w:rPr>
          <w:bCs/>
          <w:b/>
        </w:rPr>
        <w:t xml:space="preserve">4.</w:t>
      </w:r>
      <w:r>
        <w:t xml:space="preserve"> </w:t>
      </w:r>
      <w:r>
        <w:t xml:space="preserve">The pet owner acknowledges that the surgical procedure described in Ref #005 was performed after informed consent was obtained and documented. The lead Veterinarian, Dr. Wei Zhang, and the surgical team bear professional responsibility for the procedure in accordance with the Veterinary Practitioners' Code of Ethics.</w:t>
      </w:r>
    </w:p>
    <w:p>
      <w:pPr>
        <w:pStyle w:val="BodyText"/>
      </w:pPr>
      <w:r>
        <w:rPr>
          <w:bCs/>
          <w:b/>
        </w:rPr>
        <w:t xml:space="preserve">5.</w:t>
      </w:r>
      <w:r>
        <w:t xml:space="preserve"> </w:t>
      </w:r>
      <w:r>
        <w:t xml:space="preserve">Follow-up appointments are mandatory at 14 days and 6 weeks post-surgery. Failure to attend scheduled follow-ups may affect the warranty on the orthopedic implant and the Veterinarian's post-operative care obligations.</w:t>
      </w:r>
    </w:p>
    <w:p>
      <w:pPr>
        <w:pStyle w:val="BodyText"/>
      </w:pPr>
      <w:r>
        <w:rPr>
          <w:bCs/>
          <w:b/>
        </w:rPr>
        <w:t xml:space="preserve">6.</w:t>
      </w:r>
      <w:r>
        <w:t xml:space="preserve"> </w:t>
      </w:r>
      <w:r>
        <w:t xml:space="preserve">This Invoice is valid for 90 days from the date of issue. After this period, a late payment surcharge of 1.5% per month will be applied. Disputes regarding this Invoice must be submitted in writing to the billing office within 30 days.</w:t>
      </w:r>
    </w:p>
    <w:p>
      <w:pPr>
        <w:pStyle w:val="BodyText"/>
      </w:pPr>
      <w:r>
        <w:rPr>
          <w:bCs/>
          <w:b/>
        </w:rPr>
        <w:t xml:space="preserve">7.</w:t>
      </w:r>
      <w:r>
        <w:t xml:space="preserve"> </w:t>
      </w:r>
      <w:r>
        <w:t xml:space="preserve">All medical records, diagnostic images, and surgical reports associated with this Invoice are retained at our China Beijing facility for a minimum of ten (10) years as required by national veterinary record-keeping regulations.</w:t>
      </w:r>
    </w:p>
    <w:bookmarkEnd w:id="25"/>
    <w:p>
      <w:pPr>
        <w:pStyle w:val="BodyText"/>
      </w:pPr>
      <w:r>
        <w:rPr>
          <w:bCs/>
          <w:b/>
        </w:rPr>
        <w:t xml:space="preserve">Beijing Capital Veterinary Medical Center</w:t>
      </w:r>
      <w:r>
        <w:t xml:space="preserve"> </w:t>
      </w:r>
      <w:r>
        <w:t xml:space="preserve">| No. 88, Chaoyang District, Beijing, China 100020</w:t>
      </w:r>
    </w:p>
    <w:p>
      <w:pPr>
        <w:pStyle w:val="BodyText"/>
      </w:pPr>
      <w:r>
        <w:t xml:space="preserve">Registered with the Beijing Municipal Market Supervision Administration | Veterinary Practice License: BJ-VET-2019-04471</w:t>
      </w:r>
    </w:p>
    <w:p>
      <w:pPr>
        <w:pStyle w:val="BodyText"/>
      </w:pPr>
      <w:r>
        <w:t xml:space="preserve">For inquiries regarding this Invoice, please contact our billing department at +86-10-6588-2200 (ext. 3) or billing@bjcapvet.cn</w:t>
      </w:r>
    </w:p>
    <w:p>
      <w:pPr>
        <w:pStyle w:val="BodyText"/>
      </w:pPr>
      <w:r>
        <w:t xml:space="preserve">This document is a legally binding Invoice issued under the Commercial Invoice standards of the People's Republic of China. Unauthorized reproduction or alteration of this Invoice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Invoice - Beijing, China</dc:title>
  <dc:creator/>
  <dc:language>en</dc:language>
  <cp:keywords/>
  <dcterms:created xsi:type="dcterms:W3CDTF">2026-10-10T04:33:19Z</dcterms:created>
  <dcterms:modified xsi:type="dcterms:W3CDTF">2026-10-10T04:33:19Z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