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Berlin,</w:t>
      </w:r>
      <w:r>
        <w:t xml:space="preserve"> </w:t>
      </w:r>
      <w:r>
        <w:t xml:space="preserve">Germany</w:t>
      </w:r>
    </w:p>
    <w:bookmarkStart w:id="20" w:name="tierklinik-am-brandenburger-tor"/>
    <w:p>
      <w:pPr>
        <w:pStyle w:val="Heading1"/>
      </w:pPr>
      <w:r>
        <w:t xml:space="preserve">Tierklinik am Brandenburger Tor</w:t>
      </w:r>
    </w:p>
    <w:p>
      <w:pPr>
        <w:pStyle w:val="FirstParagraph"/>
      </w:pPr>
      <w:r>
        <w:rPr>
          <w:bCs/>
          <w:b/>
        </w:rPr>
        <w:t xml:space="preserve">Veterinarian Practice &amp; Animal Hospital</w:t>
      </w:r>
    </w:p>
    <w:p>
      <w:pPr>
        <w:pStyle w:val="BodyText"/>
      </w:pPr>
      <w:r>
        <w:t xml:space="preserve">Unter den Linden 42, 10117 Berlin, Germany</w:t>
      </w:r>
    </w:p>
    <w:p>
      <w:pPr>
        <w:pStyle w:val="BodyText"/>
      </w:pPr>
      <w:r>
        <w:t xml:space="preserve">Phone: +49 (0)30 555 782 100</w:t>
      </w:r>
    </w:p>
    <w:p>
      <w:pPr>
        <w:pStyle w:val="BodyText"/>
      </w:pPr>
      <w:r>
        <w:t xml:space="preserve">Email: info@tierklinik-brandenburger.de</w:t>
      </w:r>
    </w:p>
    <w:p>
      <w:pPr>
        <w:pStyle w:val="BodyText"/>
      </w:pPr>
      <w:r>
        <w:t xml:space="preserve">VAT ID (USt-IdNr.): DE 318 456 721</w:t>
      </w:r>
    </w:p>
    <w:p>
      <w:pPr>
        <w:pStyle w:val="BodyText"/>
      </w:pPr>
      <w:r>
        <w:t xml:space="preserve">Chamber of Veterinarians: Tierärztekammer Berlin</w:t>
      </w:r>
    </w:p>
    <w:bookmarkEnd w:id="20"/>
    <w:bookmarkStart w:id="21" w:name="invoice"/>
    <w:p>
      <w:pPr>
        <w:pStyle w:val="Heading2"/>
      </w:pPr>
      <w:r>
        <w:t xml:space="preserve">INVOICE</w:t>
      </w:r>
    </w:p>
    <w:p>
      <w:pPr>
        <w:pStyle w:val="FirstParagraph"/>
      </w:pPr>
      <w:r>
        <w:t xml:space="preserve">Rechnung Nr. 2025-0487</w:t>
      </w:r>
    </w:p>
    <w:p>
      <w:pPr>
        <w:pStyle w:val="BodyText"/>
      </w:pPr>
      <w:r>
        <w:t xml:space="preserve">Date of Issue: 14 June 2025</w:t>
      </w:r>
    </w:p>
    <w:p>
      <w:pPr>
        <w:pStyle w:val="BodyText"/>
      </w:pPr>
      <w:r>
        <w:t xml:space="preserve">Due Date: 28 June 2025</w:t>
      </w:r>
    </w:p>
    <w:bookmarkEnd w:id="21"/>
    <w:bookmarkStart w:id="22" w:name="billed-to-kunde"/>
    <w:p>
      <w:pPr>
        <w:pStyle w:val="Heading3"/>
      </w:pPr>
      <w:r>
        <w:t xml:space="preserve">Billed To (Kunde)</w:t>
      </w:r>
    </w:p>
    <w:p>
      <w:pPr>
        <w:pStyle w:val="FirstParagraph"/>
      </w:pPr>
      <w:r>
        <w:rPr>
          <w:bCs/>
          <w:b/>
        </w:rPr>
        <w:t xml:space="preserve">Ms. Katharina Müller</w:t>
      </w:r>
    </w:p>
    <w:p>
      <w:pPr>
        <w:pStyle w:val="BodyText"/>
      </w:pPr>
      <w:r>
        <w:t xml:space="preserve">Wilmersdorfer Straße 118</w:t>
      </w:r>
    </w:p>
    <w:p>
      <w:pPr>
        <w:pStyle w:val="BodyText"/>
      </w:pPr>
      <w:r>
        <w:t xml:space="preserve">10707 Berlin, Germany</w:t>
      </w:r>
    </w:p>
    <w:p>
      <w:pPr>
        <w:pStyle w:val="BodyText"/>
      </w:pPr>
      <w:r>
        <w:t xml:space="preserve">Client Reference: KM-2025-0391</w:t>
      </w:r>
    </w:p>
    <w:p>
      <w:pPr>
        <w:pStyle w:val="BodyText"/>
      </w:pPr>
      <w:r>
        <w:t xml:space="preserve">Animal: "Bella" – German Shepherd, Female, 4 years old</w:t>
      </w:r>
    </w:p>
    <w:p>
      <w:pPr>
        <w:pStyle w:val="BodyText"/>
      </w:pPr>
      <w:r>
        <w:t xml:space="preserve">Microchip No.: 941000001234567</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2025-0487</w:t>
      </w:r>
    </w:p>
    <w:p>
      <w:pPr>
        <w:pStyle w:val="BodyText"/>
      </w:pPr>
      <w:r>
        <w:rPr>
          <w:bCs/>
          <w:b/>
        </w:rPr>
        <w:t xml:space="preserve">Service Period:</w:t>
      </w:r>
      <w:r>
        <w:t xml:space="preserve"> </w:t>
      </w:r>
      <w:r>
        <w:t xml:space="preserve">10 June 2025 – 13 June 2025</w:t>
      </w:r>
    </w:p>
    <w:p>
      <w:pPr>
        <w:pStyle w:val="BodyText"/>
      </w:pPr>
      <w:r>
        <w:rPr>
          <w:bCs/>
          <w:b/>
        </w:rPr>
        <w:t xml:space="preserve">Treating Veterinarian:</w:t>
      </w:r>
      <w:r>
        <w:t xml:space="preserve"> </w:t>
      </w:r>
      <w:r>
        <w:t xml:space="preserve">Dr. med. vet. Stefan Hoffmann</w:t>
      </w:r>
    </w:p>
    <w:p>
      <w:pPr>
        <w:pStyle w:val="BodyText"/>
      </w:pPr>
      <w:r>
        <w:rPr>
          <w:bCs/>
          <w:b/>
        </w:rPr>
        <w:t xml:space="preserve">Department:</w:t>
      </w:r>
      <w:r>
        <w:t xml:space="preserve"> </w:t>
      </w:r>
      <w:r>
        <w:t xml:space="preserve">Orthopedic Surgery &amp; Internal Medicine</w:t>
      </w:r>
    </w:p>
    <w:p>
      <w:pPr>
        <w:pStyle w:val="BodyText"/>
      </w:pPr>
      <w:r>
        <w:rPr>
          <w:bCs/>
          <w:b/>
        </w:rPr>
        <w:t xml:space="preserve">Payment Method:</w:t>
      </w:r>
      <w:r>
        <w:t xml:space="preserve"> </w:t>
      </w:r>
      <w:r>
        <w:t xml:space="preserve">Bank Transfer (SEPA)</w:t>
      </w:r>
    </w:p>
    <w:p>
      <w:pPr>
        <w:pStyle w:val="BodyText"/>
      </w:pPr>
      <w:r>
        <w:rPr>
          <w:bCs/>
          <w:b/>
        </w:rPr>
        <w:t xml:space="preserve">Payment Terms:</w:t>
      </w:r>
      <w:r>
        <w:t xml:space="preserve"> </w:t>
      </w:r>
      <w:r>
        <w:t xml:space="preserve">Net 14 days</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 of Veterinary Service</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c>
          <w:tcPr/>
          <w:p>
            <w:pPr>
              <w:pStyle w:val="Compact"/>
              <w:jc w:val="left"/>
            </w:pPr>
            <w:r>
              <w:t xml:space="preserve">GOÄ Code</w:t>
            </w:r>
          </w:p>
        </w:tc>
      </w:tr>
      <w:tr>
        <w:tc>
          <w:tcPr/>
          <w:p>
            <w:pPr>
              <w:pStyle w:val="Compact"/>
              <w:jc w:val="left"/>
            </w:pPr>
            <w:r>
              <w:t xml:space="preserve">1</w:t>
            </w:r>
          </w:p>
        </w:tc>
        <w:tc>
          <w:tcPr/>
          <w:p>
            <w:pPr>
              <w:pStyle w:val="Compact"/>
              <w:jc w:val="left"/>
            </w:pPr>
            <w:r>
              <w:t xml:space="preserve">Initial consultation and orthopedic examination of the left hind limb, including gait analysis and palpation of the cranial cruciate ligament</w:t>
            </w:r>
          </w:p>
        </w:tc>
        <w:tc>
          <w:tcPr/>
          <w:p>
            <w:pPr>
              <w:pStyle w:val="Compact"/>
              <w:jc w:val="left"/>
            </w:pPr>
            <w:r>
              <w:t xml:space="preserve">10.06.2025</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GOÄ 10 (1.0)</w:t>
            </w:r>
          </w:p>
        </w:tc>
      </w:tr>
      <w:tr>
        <w:tc>
          <w:tcPr/>
          <w:p>
            <w:pPr>
              <w:pStyle w:val="Compact"/>
              <w:jc w:val="left"/>
            </w:pPr>
            <w:r>
              <w:t xml:space="preserve">2</w:t>
            </w:r>
          </w:p>
        </w:tc>
        <w:tc>
          <w:tcPr/>
          <w:p>
            <w:pPr>
              <w:pStyle w:val="Compact"/>
              <w:jc w:val="left"/>
            </w:pPr>
            <w:r>
              <w:t xml:space="preserve">Digital radiography (2 views: lateral and craniocaudal) of the left stifle joint, including image interpretation and written diagnostic report</w:t>
            </w:r>
          </w:p>
        </w:tc>
        <w:tc>
          <w:tcPr/>
          <w:p>
            <w:pPr>
              <w:pStyle w:val="Compact"/>
              <w:jc w:val="left"/>
            </w:pPr>
            <w:r>
              <w:t xml:space="preserve">10.06.2025</w:t>
            </w:r>
          </w:p>
        </w:tc>
        <w:tc>
          <w:tcPr/>
          <w:p>
            <w:pPr>
              <w:pStyle w:val="Compact"/>
              <w:jc w:val="left"/>
            </w:pPr>
            <w:r>
              <w:t xml:space="preserve">2</w:t>
            </w:r>
          </w:p>
        </w:tc>
        <w:tc>
          <w:tcPr/>
          <w:p>
            <w:pPr>
              <w:pStyle w:val="Compact"/>
              <w:jc w:val="left"/>
            </w:pPr>
            <w:r>
              <w:t xml:space="preserve">62.00</w:t>
            </w:r>
          </w:p>
        </w:tc>
        <w:tc>
          <w:tcPr/>
          <w:p>
            <w:pPr>
              <w:pStyle w:val="Compact"/>
              <w:jc w:val="left"/>
            </w:pPr>
            <w:r>
              <w:t xml:space="preserve">124.00</w:t>
            </w:r>
          </w:p>
        </w:tc>
        <w:tc>
          <w:tcPr/>
          <w:p>
            <w:pPr>
              <w:pStyle w:val="Compact"/>
              <w:jc w:val="left"/>
            </w:pPr>
            <w:r>
              <w:t xml:space="preserve">GOÄ 12 (1.0)</w:t>
            </w:r>
          </w:p>
        </w:tc>
      </w:tr>
      <w:tr>
        <w:tc>
          <w:tcPr/>
          <w:p>
            <w:pPr>
              <w:pStyle w:val="Compact"/>
              <w:jc w:val="left"/>
            </w:pPr>
            <w:r>
              <w:t xml:space="preserve">3</w:t>
            </w:r>
          </w:p>
        </w:tc>
        <w:tc>
          <w:tcPr/>
          <w:p>
            <w:pPr>
              <w:pStyle w:val="Compact"/>
              <w:jc w:val="left"/>
            </w:pPr>
            <w:r>
              <w:t xml:space="preserve">Complete blood count (CBC) and comprehensive metabolic panel including liver enzymes, renal values, and inflammatory markers (CRP, SAA)</w:t>
            </w:r>
          </w:p>
        </w:tc>
        <w:tc>
          <w:tcPr/>
          <w:p>
            <w:pPr>
              <w:pStyle w:val="Compact"/>
              <w:jc w:val="left"/>
            </w:pPr>
            <w:r>
              <w:t xml:space="preserve">10.06.2025</w:t>
            </w:r>
          </w:p>
        </w:tc>
        <w:tc>
          <w:tcPr/>
          <w:p>
            <w:pPr>
              <w:pStyle w:val="Compact"/>
              <w:jc w:val="left"/>
            </w:pPr>
            <w:r>
              <w:t xml:space="preserve">1</w:t>
            </w:r>
          </w:p>
        </w:tc>
        <w:tc>
          <w:tcPr/>
          <w:p>
            <w:pPr>
              <w:pStyle w:val="Compact"/>
              <w:jc w:val="left"/>
            </w:pPr>
            <w:r>
              <w:t xml:space="preserve">148.00</w:t>
            </w:r>
          </w:p>
        </w:tc>
        <w:tc>
          <w:tcPr/>
          <w:p>
            <w:pPr>
              <w:pStyle w:val="Compact"/>
              <w:jc w:val="left"/>
            </w:pPr>
            <w:r>
              <w:t xml:space="preserve">148.00</w:t>
            </w:r>
          </w:p>
        </w:tc>
        <w:tc>
          <w:tcPr/>
          <w:p>
            <w:pPr>
              <w:pStyle w:val="Compact"/>
              <w:jc w:val="left"/>
            </w:pPr>
            <w:r>
              <w:t xml:space="preserve">GOÄ 13 (1.0)</w:t>
            </w:r>
          </w:p>
        </w:tc>
      </w:tr>
      <w:tr>
        <w:tc>
          <w:tcPr/>
          <w:p>
            <w:pPr>
              <w:pStyle w:val="Compact"/>
              <w:jc w:val="left"/>
            </w:pPr>
            <w:r>
              <w:t xml:space="preserve">4</w:t>
            </w:r>
          </w:p>
        </w:tc>
        <w:tc>
          <w:tcPr/>
          <w:p>
            <w:pPr>
              <w:pStyle w:val="Compact"/>
              <w:jc w:val="left"/>
            </w:pPr>
            <w:r>
              <w:t xml:space="preserve">Ultrasound examination of the left stifle joint to assess meniscal integrity and joint effusion volume</w:t>
            </w:r>
          </w:p>
        </w:tc>
        <w:tc>
          <w:tcPr/>
          <w:p>
            <w:pPr>
              <w:pStyle w:val="Compact"/>
              <w:jc w:val="left"/>
            </w:pPr>
            <w:r>
              <w:t xml:space="preserve">11.06.2025</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c>
          <w:tcPr/>
          <w:p>
            <w:pPr>
              <w:pStyle w:val="Compact"/>
              <w:jc w:val="left"/>
            </w:pPr>
            <w:r>
              <w:t xml:space="preserve">GOÄ 14 (1.0)</w:t>
            </w:r>
          </w:p>
        </w:tc>
      </w:tr>
      <w:tr>
        <w:tc>
          <w:tcPr/>
          <w:p>
            <w:pPr>
              <w:pStyle w:val="Compact"/>
              <w:jc w:val="left"/>
            </w:pPr>
            <w:r>
              <w:t xml:space="preserve">5</w:t>
            </w:r>
          </w:p>
        </w:tc>
        <w:tc>
          <w:tcPr/>
          <w:p>
            <w:pPr>
              <w:pStyle w:val="Compact"/>
              <w:jc w:val="left"/>
            </w:pPr>
            <w:r>
              <w:t xml:space="preserve">Surgical procedure: Tibial Plateau Leveling Osteotomy (TPLO) of the left stifle joint under general anesthesia, including pre-operative blood work, anesthesia monitoring, and post-operative radiographic verification</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GOÄ 23 (1.5)</w:t>
            </w:r>
          </w:p>
        </w:tc>
      </w:tr>
      <w:tr>
        <w:tc>
          <w:tcPr/>
          <w:p>
            <w:pPr>
              <w:pStyle w:val="Compact"/>
              <w:jc w:val="left"/>
            </w:pPr>
            <w:r>
              <w:t xml:space="preserve">6</w:t>
            </w:r>
          </w:p>
        </w:tc>
        <w:tc>
          <w:tcPr/>
          <w:p>
            <w:pPr>
              <w:pStyle w:val="Compact"/>
              <w:jc w:val="left"/>
            </w:pPr>
            <w:r>
              <w:t xml:space="preserve">Post-operative inpatient care (24 hours): continuous monitoring, intravenous fluid therapy, pain management with meloxicam and buprenorphine, and wound assessment</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GOÄ 25 (1.0)</w:t>
            </w:r>
          </w:p>
        </w:tc>
      </w:tr>
      <w:tr>
        <w:tc>
          <w:tcPr/>
          <w:p>
            <w:pPr>
              <w:pStyle w:val="Compact"/>
              <w:jc w:val="left"/>
            </w:pPr>
            <w:r>
              <w:t xml:space="preserve">7</w:t>
            </w:r>
          </w:p>
        </w:tc>
        <w:tc>
          <w:tcPr/>
          <w:p>
            <w:pPr>
              <w:pStyle w:val="Compact"/>
              <w:jc w:val="left"/>
            </w:pPr>
            <w:r>
              <w:t xml:space="preserve">Follow-up consultation on post-operative day 2: suture removal, radiographic check of implant position, and physiotherapy instructions</w:t>
            </w:r>
          </w:p>
        </w:tc>
        <w:tc>
          <w:tcPr/>
          <w:p>
            <w:pPr>
              <w:pStyle w:val="Compact"/>
              <w:jc w:val="left"/>
            </w:pPr>
            <w:r>
              <w:t xml:space="preserve">13.06.2025</w:t>
            </w:r>
          </w:p>
        </w:tc>
        <w:tc>
          <w:tcPr/>
          <w:p>
            <w:pPr>
              <w:pStyle w:val="Compact"/>
              <w:jc w:val="left"/>
            </w:pPr>
            <w:r>
              <w:t xml:space="preserve">1</w:t>
            </w:r>
          </w:p>
        </w:tc>
        <w:tc>
          <w:tcPr/>
          <w:p>
            <w:pPr>
              <w:pStyle w:val="Compact"/>
              <w:jc w:val="left"/>
            </w:pPr>
            <w:r>
              <w:t xml:space="preserve">72.00</w:t>
            </w:r>
          </w:p>
        </w:tc>
        <w:tc>
          <w:tcPr/>
          <w:p>
            <w:pPr>
              <w:pStyle w:val="Compact"/>
              <w:jc w:val="left"/>
            </w:pPr>
            <w:r>
              <w:t xml:space="preserve">72.00</w:t>
            </w:r>
          </w:p>
        </w:tc>
        <w:tc>
          <w:tcPr/>
          <w:p>
            <w:pPr>
              <w:pStyle w:val="Compact"/>
              <w:jc w:val="left"/>
            </w:pPr>
            <w:r>
              <w:t xml:space="preserve">GOÄ 10 (0.8)</w:t>
            </w:r>
          </w:p>
        </w:tc>
      </w:tr>
      <w:tr>
        <w:tc>
          <w:tcPr/>
          <w:p>
            <w:pPr>
              <w:pStyle w:val="Compact"/>
              <w:jc w:val="left"/>
            </w:pPr>
            <w:r>
              <w:t xml:space="preserve">8</w:t>
            </w:r>
          </w:p>
        </w:tc>
        <w:tc>
          <w:tcPr/>
          <w:p>
            <w:pPr>
              <w:pStyle w:val="Compact"/>
              <w:jc w:val="left"/>
            </w:pPr>
            <w:r>
              <w:t xml:space="preserve">Medication dispensed: Meloxicam 1.5 mg tablets (30 count), Buprenorphine 0.3 mg/ml oral solution (10 ml), and Carprofen 75 mg tablets (14 count)</w:t>
            </w:r>
          </w:p>
        </w:tc>
        <w:tc>
          <w:tcPr/>
          <w:p>
            <w:pPr>
              <w:pStyle w:val="Compact"/>
              <w:jc w:val="left"/>
            </w:pPr>
            <w:r>
              <w:t xml:space="preserve">13.06.2025</w:t>
            </w:r>
          </w:p>
        </w:tc>
        <w:tc>
          <w:tcPr/>
          <w:p>
            <w:pPr>
              <w:pStyle w:val="Compact"/>
              <w:jc w:val="left"/>
            </w:pPr>
            <w:r>
              <w:t xml:space="preserve">1</w:t>
            </w:r>
          </w:p>
        </w:tc>
        <w:tc>
          <w:tcPr/>
          <w:p>
            <w:pPr>
              <w:pStyle w:val="Compact"/>
              <w:jc w:val="left"/>
            </w:pPr>
            <w:r>
              <w:t xml:space="preserve">96.50</w:t>
            </w:r>
          </w:p>
        </w:tc>
        <w:tc>
          <w:tcPr/>
          <w:p>
            <w:pPr>
              <w:pStyle w:val="Compact"/>
              <w:jc w:val="left"/>
            </w:pPr>
            <w:r>
              <w:t xml:space="preserve">96.50</w:t>
            </w:r>
          </w:p>
        </w:tc>
        <w:tc>
          <w:tcPr/>
          <w:p>
            <w:pPr>
              <w:pStyle w:val="Compact"/>
              <w:jc w:val="left"/>
            </w:pPr>
            <w:r>
              <w:t xml:space="preserve">GOÄ 27 (1.0)</w:t>
            </w:r>
          </w:p>
        </w:tc>
      </w:tr>
      <w:tr>
        <w:tc>
          <w:tcPr/>
          <w:p>
            <w:pPr>
              <w:pStyle w:val="Compact"/>
              <w:jc w:val="left"/>
            </w:pPr>
            <w:r>
              <w:t xml:space="preserve">9</w:t>
            </w:r>
          </w:p>
        </w:tc>
        <w:tc>
          <w:tcPr/>
          <w:p>
            <w:pPr>
              <w:pStyle w:val="Compact"/>
              <w:jc w:val="left"/>
            </w:pPr>
            <w:r>
              <w:t xml:space="preserve">Surgical supplies: TPLO plate (4-hole, 100 mm), 4 cortical screws (2.7 mm), surgical sutures, and sterile drapes</w:t>
            </w:r>
          </w:p>
        </w:tc>
        <w:tc>
          <w:tcPr/>
          <w:p>
            <w:pPr>
              <w:pStyle w:val="Compact"/>
              <w:jc w:val="left"/>
            </w:pPr>
            <w:r>
              <w:t xml:space="preserve">12.06.2025</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c>
          <w:tcPr/>
          <w:p>
            <w:pPr>
              <w:pStyle w:val="Compact"/>
              <w:jc w:val="left"/>
            </w:pPr>
            <w:r>
              <w:t xml:space="preserve">GOÄ 28 (1.0)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right"/>
            </w:pPr>
            <w:r>
              <w:t xml:space="preserve">3,090.50 EUR</w:t>
            </w:r>
          </w:p>
        </w:tc>
      </w:tr>
      <w:tr>
        <w:tc>
          <w:tcPr/>
          <w:p>
            <w:pPr>
              <w:pStyle w:val="Compact"/>
              <w:jc w:val="left"/>
            </w:pPr>
            <w:r>
              <w:t xml:space="preserve">VAT 19% (Mehrwertsteuer)</w:t>
            </w:r>
          </w:p>
        </w:tc>
        <w:tc>
          <w:tcPr/>
          <w:p>
            <w:pPr>
              <w:pStyle w:val="Compact"/>
              <w:jc w:val="right"/>
            </w:pPr>
            <w:r>
              <w:t xml:space="preserve">587.20 EUR</w:t>
            </w:r>
          </w:p>
        </w:tc>
      </w:tr>
      <w:tr>
        <w:tc>
          <w:tcPr/>
          <w:p>
            <w:pPr>
              <w:pStyle w:val="Compact"/>
              <w:jc w:val="left"/>
            </w:pPr>
            <w:r>
              <w:t xml:space="preserve">Total Amount Due (Brutto)</w:t>
            </w:r>
          </w:p>
        </w:tc>
        <w:tc>
          <w:tcPr/>
          <w:p>
            <w:pPr>
              <w:pStyle w:val="Compact"/>
              <w:jc w:val="right"/>
            </w:pPr>
            <w:r>
              <w:t xml:space="preserve">3,677.70 EUR</w:t>
            </w:r>
          </w:p>
        </w:tc>
      </w:tr>
    </w:tbl>
    <w:bookmarkStart w:id="24" w:name="payment-instructions-zahlungsdaten"/>
    <w:p>
      <w:pPr>
        <w:pStyle w:val="Heading4"/>
      </w:pPr>
      <w:r>
        <w:t xml:space="preserve">Payment Instructions (Zahlungsdaten)</w:t>
      </w:r>
    </w:p>
    <w:p>
      <w:pPr>
        <w:pStyle w:val="FirstParagraph"/>
      </w:pPr>
      <w:r>
        <w:rPr>
          <w:bCs/>
          <w:b/>
        </w:rPr>
        <w:t xml:space="preserve">Bank:</w:t>
      </w:r>
      <w:r>
        <w:t xml:space="preserve"> </w:t>
      </w:r>
      <w:r>
        <w:t xml:space="preserve">Berliner Sparkasse</w:t>
      </w:r>
    </w:p>
    <w:p>
      <w:pPr>
        <w:pStyle w:val="BodyText"/>
      </w:pPr>
      <w:r>
        <w:rPr>
          <w:bCs/>
          <w:b/>
        </w:rPr>
        <w:t xml:space="preserve">IBAN:</w:t>
      </w:r>
      <w:r>
        <w:t xml:space="preserve"> </w:t>
      </w:r>
      <w:r>
        <w:t xml:space="preserve">DE89 1005 0000 0053 2013 14</w:t>
      </w:r>
    </w:p>
    <w:p>
      <w:pPr>
        <w:pStyle w:val="BodyText"/>
      </w:pPr>
      <w:r>
        <w:rPr>
          <w:bCs/>
          <w:b/>
        </w:rPr>
        <w:t xml:space="preserve">BIC:</w:t>
      </w:r>
      <w:r>
        <w:t xml:space="preserve"> </w:t>
      </w:r>
      <w:r>
        <w:t xml:space="preserve">BESSDEBER1AX</w:t>
      </w:r>
    </w:p>
    <w:p>
      <w:pPr>
        <w:pStyle w:val="BodyText"/>
      </w:pPr>
      <w:r>
        <w:rPr>
          <w:bCs/>
          <w:b/>
        </w:rPr>
        <w:t xml:space="preserve">Reference (Verwendungszweck):</w:t>
      </w:r>
      <w:r>
        <w:t xml:space="preserve"> </w:t>
      </w:r>
      <w:r>
        <w:t xml:space="preserve">Invoice 2025-0487 / Müller / Bella</w:t>
      </w:r>
    </w:p>
    <w:p>
      <w:pPr>
        <w:pStyle w:val="BodyText"/>
      </w:pPr>
      <w:r>
        <w:t xml:space="preserve">Please ensure the reference number is included with your payment to facilitate correct allocation of funds to your veterinary account file.</w:t>
      </w:r>
    </w:p>
    <w:bookmarkEnd w:id="24"/>
    <w:bookmarkStart w:id="25" w:name="important-notes-and-legal-information"/>
    <w:p>
      <w:pPr>
        <w:pStyle w:val="Heading3"/>
      </w:pPr>
      <w:r>
        <w:t xml:space="preserve">Important Notes and Legal Information</w:t>
      </w:r>
    </w:p>
    <w:p>
      <w:pPr>
        <w:numPr>
          <w:ilvl w:val="0"/>
          <w:numId w:val="1001"/>
        </w:numPr>
        <w:pStyle w:val="Compact"/>
      </w:pPr>
      <w:r>
        <w:t xml:space="preserve">This invoice is issued in accordance with the German Veterinary Fee Schedule (Gebührenordnung für Tierärzte – GOÄ) as amended, and in compliance with the German Tax Code (Abgabenordnung, § 146) regarding mandatory invoice documentation.</w:t>
      </w:r>
    </w:p>
    <w:p>
      <w:pPr>
        <w:numPr>
          <w:ilvl w:val="0"/>
          <w:numId w:val="1001"/>
        </w:numPr>
        <w:pStyle w:val="Compact"/>
      </w:pPr>
      <w:r>
        <w:t xml:space="preserve">The treating Veterinarian, Dr. med. vet. Stefan Hoffmann, is a licensed member of the Tierärztekammer Berlin (Berlin Chamber of Veterinarians) and holds a valid practice license issued by the Landeshauptstadt Berlin, Senatsverwaltung für Justiz und Verbraucherschutz.</w:t>
      </w:r>
    </w:p>
    <w:p>
      <w:pPr>
        <w:numPr>
          <w:ilvl w:val="0"/>
          <w:numId w:val="1001"/>
        </w:numPr>
        <w:pStyle w:val="Compact"/>
      </w:pPr>
      <w:r>
        <w:t xml:space="preserve">All diagnostic and surgical procedures performed at this Veterinarian practice in Germany Berlin were carried out under the supervision of a qualified veterinary surgeon in full compliance with the German Animal Welfare Act (Tierschutzgesetz, § 6) and the EU Veterinary Medicinal Products Regulation (2019/6).</w:t>
      </w:r>
    </w:p>
    <w:p>
      <w:pPr>
        <w:numPr>
          <w:ilvl w:val="0"/>
          <w:numId w:val="1001"/>
        </w:numPr>
        <w:pStyle w:val="Compact"/>
      </w:pPr>
      <w:r>
        <w:t xml:space="preserve">The VAT rate of 19% is applied as per the German Value Added Tax Act (Umsatzsteuergesetz, UStG). This Veterinarian practice in Germany Berlin is registered for VAT purposes under the identification number DE 318 456 721.</w:t>
      </w:r>
    </w:p>
    <w:p>
      <w:pPr>
        <w:numPr>
          <w:ilvl w:val="0"/>
          <w:numId w:val="1001"/>
        </w:numPr>
        <w:pStyle w:val="Compact"/>
      </w:pPr>
      <w:r>
        <w:t xml:space="preserve">Payment is due within fourteen (14) calendar days from the date of this invoice. In the event of late payment, statutory interest of 5 percentage points above the European Central Bank base rate may be applied in accordance with § 288 of the German Civil Code (BGB).</w:t>
      </w:r>
    </w:p>
    <w:p>
      <w:pPr>
        <w:numPr>
          <w:ilvl w:val="0"/>
          <w:numId w:val="1001"/>
        </w:numPr>
        <w:pStyle w:val="Compact"/>
      </w:pPr>
      <w:r>
        <w:t xml:space="preserve">A copy of this invoice, along with the complete medical records and surgical report for "Bella," will be made available to the client upon request. The Veterinarian practice retains all original medical documentation for a minimum period of ten (10) years as required by the Tierärztekammer Berlin professional regulations.</w:t>
      </w:r>
    </w:p>
    <w:p>
      <w:pPr>
        <w:numPr>
          <w:ilvl w:val="0"/>
          <w:numId w:val="1001"/>
        </w:numPr>
        <w:pStyle w:val="Compact"/>
      </w:pPr>
      <w:r>
        <w:t xml:space="preserve">Should you have any questions regarding the line items on this invoice or require a detailed itemized breakdown of the surgical procedure, please contact our billing department at +49 (0)30 555 782 101 during business hours (Monday to Friday, 08:00–18:00 CET).</w:t>
      </w:r>
    </w:p>
    <w:p>
      <w:pPr>
        <w:numPr>
          <w:ilvl w:val="0"/>
          <w:numId w:val="1001"/>
        </w:numPr>
        <w:pStyle w:val="Compact"/>
      </w:pPr>
      <w:r>
        <w:t xml:space="preserve">This invoice constitutes a final and binding document for the veterinary services rendered during the specified service period. Any disputes regarding the scope or cost of treatment should be directed to the supervising Veterinarian or, if unresolved, to the Tierärztekammer Berlin for mediation.</w:t>
      </w:r>
    </w:p>
    <w:bookmarkEnd w:id="25"/>
    <w:p>
      <w:pPr>
        <w:pStyle w:val="FirstParagraph"/>
      </w:pPr>
      <w:r>
        <w:rPr>
          <w:bCs/>
          <w:b/>
        </w:rPr>
        <w:t xml:space="preserve">Tierklinik am Brandenburger Tor – Veterinarian Practice &amp; Animal Hospital</w:t>
      </w:r>
    </w:p>
    <w:p>
      <w:pPr>
        <w:pStyle w:val="BodyText"/>
      </w:pPr>
      <w:r>
        <w:t xml:space="preserve">Unter den Linden 42, 10117 Berlin, Germany | Phone: +49 (0)30 555 782 100 | Email: info@tierklinik-brandenburger.de</w:t>
      </w:r>
    </w:p>
    <w:p>
      <w:pPr>
        <w:pStyle w:val="BodyText"/>
      </w:pPr>
      <w:r>
        <w:t xml:space="preserve">Managing Director: Dr. med. vet. Stefan Hoffmann | VAT ID: DE 318 456 721 | Commercial Register: HRB 145 892, Amtsgericht Charlottenburg, Berlin</w:t>
      </w:r>
    </w:p>
    <w:p>
      <w:pPr>
        <w:pStyle w:val="BodyText"/>
      </w:pPr>
      <w:r>
        <w:t xml:space="preserve">This invoice was generated electronically and is valid without a physical signature in accordance with § 146 Abs. 1 S. 3 AO (German Tax Code).</w:t>
      </w:r>
    </w:p>
    <w:p>
      <w:pPr>
        <w:pStyle w:val="BodyText"/>
      </w:pPr>
      <w:r>
        <w:t xml:space="preserve">Thank you for trusting our Veterinarian team in Germany Berlin with the care of your beloved companion animal. We wish Bella a swift and full recovery.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Berlin, Germany</dc:title>
  <dc:creator/>
  <dc:language>en</dc:language>
  <cp:keywords/>
  <dcterms:created xsi:type="dcterms:W3CDTF">2026-10-10T03:01:10Z</dcterms:created>
  <dcterms:modified xsi:type="dcterms:W3CDTF">2026-10-10T03:01:10Z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