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Frankfurt,</w:t>
      </w:r>
      <w:r>
        <w:t xml:space="preserve"> </w:t>
      </w:r>
      <w:r>
        <w:t xml:space="preserve">Germany</w:t>
      </w:r>
    </w:p>
    <w:bookmarkStart w:id="20" w:name="dr.-heinrich-vogel-veterinarian-clinic"/>
    <w:p>
      <w:pPr>
        <w:pStyle w:val="Heading1"/>
      </w:pPr>
      <w:r>
        <w:t xml:space="preserve">Dr. Heinrich Vogel – Veterinarian Clinic</w:t>
      </w:r>
    </w:p>
    <w:p>
      <w:pPr>
        <w:pStyle w:val="FirstParagraph"/>
      </w:pPr>
      <w:r>
        <w:rPr>
          <w:bCs/>
          <w:b/>
        </w:rPr>
        <w:t xml:space="preserve">Praxis für Tiermedizin am Mainufer</w:t>
      </w:r>
    </w:p>
    <w:p>
      <w:pPr>
        <w:pStyle w:val="BodyText"/>
      </w:pPr>
      <w:r>
        <w:t xml:space="preserve">Mainufer 42, 60311 Frankfurt am Main, Germany</w:t>
      </w:r>
    </w:p>
    <w:p>
      <w:pPr>
        <w:pStyle w:val="BodyText"/>
      </w:pPr>
      <w:r>
        <w:t xml:space="preserve">Phone: +49 (0)69 4455 8821</w:t>
      </w:r>
    </w:p>
    <w:p>
      <w:pPr>
        <w:pStyle w:val="BodyText"/>
      </w:pPr>
      <w:r>
        <w:t xml:space="preserve">Email: info@veterinaer-frankfurt.de</w:t>
      </w:r>
    </w:p>
    <w:p>
      <w:pPr>
        <w:pStyle w:val="BodyText"/>
      </w:pPr>
      <w:r>
        <w:t xml:space="preserve">USt-IdNr.: DE 294 581 733</w:t>
      </w:r>
    </w:p>
    <w:p>
      <w:pPr>
        <w:pStyle w:val="BodyText"/>
      </w:pPr>
      <w:r>
        <w:t xml:space="preserve">Chamber of Veterinary Surgeons, Hesse (Tierärztekammer Hessen)</w:t>
      </w:r>
    </w:p>
    <w:bookmarkEnd w:id="20"/>
    <w:bookmarkStart w:id="21" w:name="invoice"/>
    <w:p>
      <w:pPr>
        <w:pStyle w:val="Heading2"/>
      </w:pPr>
      <w:r>
        <w:t xml:space="preserve">INVOICE</w:t>
      </w:r>
    </w:p>
    <w:p>
      <w:pPr>
        <w:pStyle w:val="FirstParagraph"/>
      </w:pPr>
      <w:r>
        <w:t xml:space="preserve">Rechnung</w:t>
      </w:r>
    </w:p>
    <w:p>
      <w:pPr>
        <w:pStyle w:val="BodyText"/>
      </w:pPr>
      <w:r>
        <w:t xml:space="preserve">Invoice No.: VET-FRA-2025-04872</w:t>
      </w:r>
    </w:p>
    <w:p>
      <w:pPr>
        <w:pStyle w:val="BodyText"/>
      </w:pPr>
      <w:r>
        <w:t xml:space="preserve">Date of Issue: 14 June 2025</w:t>
      </w:r>
    </w:p>
    <w:p>
      <w:pPr>
        <w:pStyle w:val="BodyText"/>
      </w:pPr>
      <w:r>
        <w:t xml:space="preserve">Due Date: 28 June 2025</w:t>
      </w:r>
    </w:p>
    <w:p>
      <w:pPr>
        <w:pStyle w:val="BodyText"/>
      </w:pPr>
      <w:r>
        <w:t xml:space="preserve">Payment Due in 14 Days</w:t>
      </w:r>
    </w:p>
    <w:bookmarkEnd w:id="21"/>
    <w:bookmarkStart w:id="22" w:name="billed-to-kunde"/>
    <w:p>
      <w:pPr>
        <w:pStyle w:val="Heading3"/>
      </w:pPr>
      <w:r>
        <w:t xml:space="preserve">Billed To (Kunde)</w:t>
      </w:r>
    </w:p>
    <w:p>
      <w:pPr>
        <w:pStyle w:val="FirstParagraph"/>
      </w:pPr>
      <w:r>
        <w:rPr>
          <w:bCs/>
          <w:b/>
        </w:rPr>
        <w:t xml:space="preserve">Ms. Katharina Brandt</w:t>
      </w:r>
    </w:p>
    <w:p>
      <w:pPr>
        <w:pStyle w:val="BodyText"/>
      </w:pPr>
      <w:r>
        <w:t xml:space="preserve">Bergstraße 17, Apt. 3B</w:t>
      </w:r>
    </w:p>
    <w:p>
      <w:pPr>
        <w:pStyle w:val="BodyText"/>
      </w:pPr>
      <w:r>
        <w:t xml:space="preserve">60313 Frankfurt am Main, Germany</w:t>
      </w:r>
    </w:p>
    <w:p>
      <w:pPr>
        <w:pStyle w:val="BodyText"/>
      </w:pPr>
      <w:r>
        <w:t xml:space="preserve">Phone: +49 (0)171 234 5678</w:t>
      </w:r>
    </w:p>
    <w:p>
      <w:pPr>
        <w:pStyle w:val="BodyText"/>
      </w:pPr>
      <w:r>
        <w:t xml:space="preserve">Email: k.brandt@email.de</w:t>
      </w:r>
    </w:p>
    <w:p>
      <w:pPr>
        <w:pStyle w:val="BodyText"/>
      </w:pPr>
      <w:r>
        <w:t xml:space="preserve">Client Reference: CB-2024-119</w:t>
      </w:r>
    </w:p>
    <w:bookmarkEnd w:id="22"/>
    <w:bookmarkStart w:id="23" w:name="patient-information-tier"/>
    <w:p>
      <w:pPr>
        <w:pStyle w:val="Heading3"/>
      </w:pPr>
      <w:r>
        <w:t xml:space="preserve">Patient Information (Tier)</w:t>
      </w:r>
    </w:p>
    <w:p>
      <w:pPr>
        <w:pStyle w:val="FirstParagraph"/>
      </w:pPr>
      <w:r>
        <w:rPr>
          <w:bCs/>
          <w:b/>
        </w:rPr>
        <w:t xml:space="preserve">Name:</w:t>
      </w:r>
      <w:r>
        <w:t xml:space="preserve"> </w:t>
      </w:r>
      <w:r>
        <w:t xml:space="preserve">Biscuit</w:t>
      </w:r>
    </w:p>
    <w:p>
      <w:pPr>
        <w:pStyle w:val="BodyText"/>
      </w:pPr>
      <w:r>
        <w:rPr>
          <w:bCs/>
          <w:b/>
        </w:rPr>
        <w:t xml:space="preserve">Species:</w:t>
      </w:r>
      <w:r>
        <w:t xml:space="preserve"> </w:t>
      </w:r>
      <w:r>
        <w:t xml:space="preserve">Dog (Canis lupus familiaris)</w:t>
      </w:r>
    </w:p>
    <w:p>
      <w:pPr>
        <w:pStyle w:val="BodyText"/>
      </w:pPr>
      <w:r>
        <w:rPr>
          <w:bCs/>
          <w:b/>
        </w:rPr>
        <w:t xml:space="preserve">Breed:</w:t>
      </w:r>
      <w:r>
        <w:t xml:space="preserve"> </w:t>
      </w:r>
      <w:r>
        <w:t xml:space="preserve">Golden Retriever</w:t>
      </w:r>
    </w:p>
    <w:p>
      <w:pPr>
        <w:pStyle w:val="BodyText"/>
      </w:pPr>
      <w:r>
        <w:rPr>
          <w:bCs/>
          <w:b/>
        </w:rPr>
        <w:t xml:space="preserve">Age:</w:t>
      </w:r>
      <w:r>
        <w:t xml:space="preserve"> </w:t>
      </w:r>
      <w:r>
        <w:t xml:space="preserve">4 years, 2 months</w:t>
      </w:r>
    </w:p>
    <w:p>
      <w:pPr>
        <w:pStyle w:val="BodyText"/>
      </w:pPr>
      <w:r>
        <w:rPr>
          <w:bCs/>
          <w:b/>
        </w:rPr>
        <w:t xml:space="preserve">Weight:</w:t>
      </w:r>
      <w:r>
        <w:t xml:space="preserve"> </w:t>
      </w:r>
      <w:r>
        <w:t xml:space="preserve">31.4 kg</w:t>
      </w:r>
    </w:p>
    <w:p>
      <w:pPr>
        <w:pStyle w:val="BodyText"/>
      </w:pPr>
      <w:r>
        <w:rPr>
          <w:bCs/>
          <w:b/>
        </w:rPr>
        <w:t xml:space="preserve">Microchip No.:</w:t>
      </w:r>
      <w:r>
        <w:t xml:space="preserve"> </w:t>
      </w:r>
      <w:r>
        <w:t xml:space="preserve">941000012345678</w:t>
      </w:r>
    </w:p>
    <w:p>
      <w:pPr>
        <w:pStyle w:val="BodyText"/>
      </w:pPr>
      <w:r>
        <w:rPr>
          <w:bCs/>
          <w:b/>
        </w:rPr>
        <w:t xml:space="preserve">Colour:</w:t>
      </w:r>
      <w:r>
        <w:t xml:space="preserve"> </w:t>
      </w:r>
      <w:r>
        <w:t xml:space="preserve">Golden / White</w:t>
      </w:r>
    </w:p>
    <w:bookmarkEnd w:id="23"/>
    <w:bookmarkStart w:id="24" w:name="X12d6373348d0d4ab46b9d093ceeca573af88f9b"/>
    <w:p>
      <w:pPr>
        <w:pStyle w:val="Heading3"/>
      </w:pPr>
      <w:r>
        <w:t xml:space="preserve">Invoice Details – Veterinary Services Rendered</w:t>
      </w:r>
    </w:p>
    <w:p>
      <w:pPr>
        <w:pStyle w:val="FirstParagraph"/>
      </w:pPr>
      <w:r>
        <w:t xml:space="preserve">The following Invoice documents all veterinary procedures, diagnostics, medications, and professional services provided by our Veterinarian team at our clinic in Germany Frankfurt on the dates specified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Date</w:t>
            </w:r>
          </w:p>
        </w:tc>
        <w:tc>
          <w:tcPr/>
          <w:p>
            <w:pPr>
              <w:pStyle w:val="Compact"/>
              <w:jc w:val="left"/>
            </w:pPr>
            <w:r>
              <w:t xml:space="preserve">Description of Veterinary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10 Jun 2025</w:t>
            </w:r>
          </w:p>
        </w:tc>
        <w:tc>
          <w:tcPr/>
          <w:p>
            <w:pPr>
              <w:pStyle w:val="Compact"/>
              <w:jc w:val="left"/>
            </w:pPr>
            <w:r>
              <w:t xml:space="preserve">Comprehensive veterinary examination and physical assessment by Dr. Heinrich Vogel, Veterinarian. Includes auscultation, palpation, neurological screening, and orthopaedic evaluation of all four limbs.</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10 Jun 2025</w:t>
            </w:r>
          </w:p>
        </w:tc>
        <w:tc>
          <w:tcPr/>
          <w:p>
            <w:pPr>
              <w:pStyle w:val="Compact"/>
              <w:jc w:val="left"/>
            </w:pPr>
            <w:r>
              <w:t xml:space="preserve">Digital radiography (X-ray) – bilateral hip and stifle joints, 4 views. Performed to evaluate suspected early-stage hip dysplasia. Includes image processing and diagnostic interpretation by the Veterinarian.</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03</w:t>
            </w:r>
          </w:p>
        </w:tc>
        <w:tc>
          <w:tcPr/>
          <w:p>
            <w:pPr>
              <w:pStyle w:val="Compact"/>
              <w:jc w:val="left"/>
            </w:pPr>
            <w:r>
              <w:t xml:space="preserve">10 Jun 2025</w:t>
            </w:r>
          </w:p>
        </w:tc>
        <w:tc>
          <w:tcPr/>
          <w:p>
            <w:pPr>
              <w:pStyle w:val="Compact"/>
              <w:jc w:val="left"/>
            </w:pPr>
            <w:r>
              <w:t xml:space="preserve">Complete blood count (CBC) and comprehensive metabolic panel (CMP) including liver enzymes, renal values, electrolytes, and inflammatory markers. Sample collection and laboratory analysis performed in-house.</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04</w:t>
            </w:r>
          </w:p>
        </w:tc>
        <w:tc>
          <w:tcPr/>
          <w:p>
            <w:pPr>
              <w:pStyle w:val="Compact"/>
              <w:jc w:val="left"/>
            </w:pPr>
            <w:r>
              <w:t xml:space="preserve">10 Jun 2025</w:t>
            </w:r>
          </w:p>
        </w:tc>
        <w:tc>
          <w:tcPr/>
          <w:p>
            <w:pPr>
              <w:pStyle w:val="Compact"/>
              <w:jc w:val="left"/>
            </w:pPr>
            <w:r>
              <w:t xml:space="preserve">Abdominal and thoracic ultrasound examination. Full scan including liver, spleen, kidneys, bladder, and cardiac silhouette. Performed by senior Veterinarian technician with diagnostic report.</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05</w:t>
            </w:r>
          </w:p>
        </w:tc>
        <w:tc>
          <w:tcPr/>
          <w:p>
            <w:pPr>
              <w:pStyle w:val="Compact"/>
              <w:jc w:val="left"/>
            </w:pPr>
            <w:r>
              <w:t xml:space="preserve">11 Jun 2025</w:t>
            </w:r>
          </w:p>
        </w:tc>
        <w:tc>
          <w:tcPr/>
          <w:p>
            <w:pPr>
              <w:pStyle w:val="Compact"/>
              <w:jc w:val="left"/>
            </w:pPr>
            <w:r>
              <w:t xml:space="preserve">Prescription medication: Carprofen 75 mg tablets (anti-inflammatory analgesic), 30 tablets. Dispensed by the Veterinarian with detailed dosing instructions and monitoring schedule.</w:t>
            </w:r>
          </w:p>
        </w:tc>
        <w:tc>
          <w:tcPr/>
          <w:p>
            <w:pPr>
              <w:pStyle w:val="Compact"/>
              <w:jc w:val="left"/>
            </w:pPr>
            <w:r>
              <w:t xml:space="preserve">1</w:t>
            </w:r>
          </w:p>
        </w:tc>
        <w:tc>
          <w:tcPr/>
          <w:p>
            <w:pPr>
              <w:pStyle w:val="Compact"/>
              <w:jc w:val="left"/>
            </w:pPr>
            <w:r>
              <w:t xml:space="preserve">42.50</w:t>
            </w:r>
          </w:p>
        </w:tc>
        <w:tc>
          <w:tcPr/>
          <w:p>
            <w:pPr>
              <w:pStyle w:val="Compact"/>
              <w:jc w:val="left"/>
            </w:pPr>
            <w:r>
              <w:t xml:space="preserve">42.50</w:t>
            </w:r>
          </w:p>
        </w:tc>
      </w:tr>
      <w:tr>
        <w:tc>
          <w:tcPr/>
          <w:p>
            <w:pPr>
              <w:pStyle w:val="Compact"/>
              <w:jc w:val="left"/>
            </w:pPr>
            <w:r>
              <w:t xml:space="preserve">06</w:t>
            </w:r>
          </w:p>
        </w:tc>
        <w:tc>
          <w:tcPr/>
          <w:p>
            <w:pPr>
              <w:pStyle w:val="Compact"/>
              <w:jc w:val="left"/>
            </w:pPr>
            <w:r>
              <w:t xml:space="preserve">11 Jun 2025</w:t>
            </w:r>
          </w:p>
        </w:tc>
        <w:tc>
          <w:tcPr/>
          <w:p>
            <w:pPr>
              <w:pStyle w:val="Compact"/>
              <w:jc w:val="left"/>
            </w:pPr>
            <w:r>
              <w:t xml:space="preserve">Prescription medication: Joint supplement – Glucosamine/Chondroitin complex, 60 chewable tablets. Recommended as long-term supportive therapy for joint health.</w:t>
            </w:r>
          </w:p>
        </w:tc>
        <w:tc>
          <w:tcPr/>
          <w:p>
            <w:pPr>
              <w:pStyle w:val="Compact"/>
              <w:jc w:val="left"/>
            </w:pPr>
            <w:r>
              <w:t xml:space="preserve">1</w:t>
            </w:r>
          </w:p>
        </w:tc>
        <w:tc>
          <w:tcPr/>
          <w:p>
            <w:pPr>
              <w:pStyle w:val="Compact"/>
              <w:jc w:val="left"/>
            </w:pPr>
            <w:r>
              <w:t xml:space="preserve">58.00</w:t>
            </w:r>
          </w:p>
        </w:tc>
        <w:tc>
          <w:tcPr/>
          <w:p>
            <w:pPr>
              <w:pStyle w:val="Compact"/>
              <w:jc w:val="left"/>
            </w:pPr>
            <w:r>
              <w:t xml:space="preserve">58.00</w:t>
            </w:r>
          </w:p>
        </w:tc>
      </w:tr>
      <w:tr>
        <w:tc>
          <w:tcPr/>
          <w:p>
            <w:pPr>
              <w:pStyle w:val="Compact"/>
              <w:jc w:val="left"/>
            </w:pPr>
            <w:r>
              <w:t xml:space="preserve">07</w:t>
            </w:r>
          </w:p>
        </w:tc>
        <w:tc>
          <w:tcPr/>
          <w:p>
            <w:pPr>
              <w:pStyle w:val="Compact"/>
              <w:jc w:val="left"/>
            </w:pPr>
            <w:r>
              <w:t xml:space="preserve">12 Jun 2025</w:t>
            </w:r>
          </w:p>
        </w:tc>
        <w:tc>
          <w:tcPr/>
          <w:p>
            <w:pPr>
              <w:pStyle w:val="Compact"/>
              <w:jc w:val="left"/>
            </w:pPr>
            <w:r>
              <w:t xml:space="preserve">Follow-up veterinary consultation and progress review. Re-evaluation of hip joint mobility, gait analysis, and assessment of response to anti-inflammatory therapy. Performed by Dr. Vogel, Veterinarian.</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08</w:t>
            </w:r>
          </w:p>
        </w:tc>
        <w:tc>
          <w:tcPr/>
          <w:p>
            <w:pPr>
              <w:pStyle w:val="Compact"/>
              <w:jc w:val="left"/>
            </w:pPr>
            <w:r>
              <w:t xml:space="preserve">12 Jun 2025</w:t>
            </w:r>
          </w:p>
        </w:tc>
        <w:tc>
          <w:tcPr/>
          <w:p>
            <w:pPr>
              <w:pStyle w:val="Compact"/>
              <w:jc w:val="left"/>
            </w:pPr>
            <w:r>
              <w:t xml:space="preserve">Annual vaccination package: DHPP (Distemper, Hepatitis, Parvovirus, Parainfluenza) + Leptospirosis + Rabies booster. Includes pre-vaccination health check by the Veterinarian and official vaccination certificate.</w:t>
            </w:r>
          </w:p>
        </w:tc>
        <w:tc>
          <w:tcPr/>
          <w:p>
            <w:pPr>
              <w:pStyle w:val="Compact"/>
              <w:jc w:val="left"/>
            </w:pPr>
            <w:r>
              <w:t xml:space="preserve">1</w:t>
            </w:r>
          </w:p>
        </w:tc>
        <w:tc>
          <w:tcPr/>
          <w:p>
            <w:pPr>
              <w:pStyle w:val="Compact"/>
              <w:jc w:val="left"/>
            </w:pPr>
            <w:r>
              <w:t xml:space="preserve">78.00</w:t>
            </w:r>
          </w:p>
        </w:tc>
        <w:tc>
          <w:tcPr/>
          <w:p>
            <w:pPr>
              <w:pStyle w:val="Compact"/>
              <w:jc w:val="left"/>
            </w:pPr>
            <w:r>
              <w:t xml:space="preserve">78.00</w:t>
            </w:r>
          </w:p>
        </w:tc>
      </w:tr>
      <w:tr>
        <w:tc>
          <w:tcPr/>
          <w:p>
            <w:pPr>
              <w:pStyle w:val="Compact"/>
              <w:jc w:val="left"/>
            </w:pPr>
            <w:r>
              <w:t xml:space="preserve">09</w:t>
            </w:r>
          </w:p>
        </w:tc>
        <w:tc>
          <w:tcPr/>
          <w:p>
            <w:pPr>
              <w:pStyle w:val="Compact"/>
              <w:jc w:val="left"/>
            </w:pPr>
            <w:r>
              <w:t xml:space="preserve">12 Jun 2025</w:t>
            </w:r>
          </w:p>
        </w:tc>
        <w:tc>
          <w:tcPr/>
          <w:p>
            <w:pPr>
              <w:pStyle w:val="Compact"/>
              <w:jc w:val="left"/>
            </w:pPr>
            <w:r>
              <w:t xml:space="preserve">Parasite control: Internal deworming (Praziquantel + Pamoxyne) and external flea/tick prevention (Isoxazoline chewable, 3-month supply). Administered and monitored by clinic staff under Veterinarian supervision.</w:t>
            </w:r>
          </w:p>
        </w:tc>
        <w:tc>
          <w:tcPr/>
          <w:p>
            <w:pPr>
              <w:pStyle w:val="Compact"/>
              <w:jc w:val="left"/>
            </w:pPr>
            <w:r>
              <w:t xml:space="preserve">1</w:t>
            </w:r>
          </w:p>
        </w:tc>
        <w:tc>
          <w:tcPr/>
          <w:p>
            <w:pPr>
              <w:pStyle w:val="Compact"/>
              <w:jc w:val="left"/>
            </w:pPr>
            <w:r>
              <w:t xml:space="preserve">36.00</w:t>
            </w:r>
          </w:p>
        </w:tc>
        <w:tc>
          <w:tcPr/>
          <w:p>
            <w:pPr>
              <w:pStyle w:val="Compact"/>
              <w:jc w:val="left"/>
            </w:pPr>
            <w:r>
              <w:t xml:space="preserve">36.00</w:t>
            </w:r>
          </w:p>
        </w:tc>
      </w:tr>
      <w:tr>
        <w:tc>
          <w:tcPr/>
          <w:p>
            <w:pPr>
              <w:pStyle w:val="Compact"/>
              <w:jc w:val="left"/>
            </w:pPr>
            <w:r>
              <w:t xml:space="preserve">10</w:t>
            </w:r>
          </w:p>
        </w:tc>
        <w:tc>
          <w:tcPr/>
          <w:p>
            <w:pPr>
              <w:pStyle w:val="Compact"/>
              <w:jc w:val="left"/>
            </w:pPr>
            <w:r>
              <w:t xml:space="preserve">12 Jun 2025</w:t>
            </w:r>
          </w:p>
        </w:tc>
        <w:tc>
          <w:tcPr/>
          <w:p>
            <w:pPr>
              <w:pStyle w:val="Compact"/>
              <w:jc w:val="left"/>
            </w:pPr>
            <w:r>
              <w:t xml:space="preserve">Dental prophylaxis and scaling under mild sedation. Removal of tartar deposits, polishing, and oral health assessment. Includes post-procedure care instructions provided by the Veterinarian.</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(Netto)</w:t>
            </w:r>
          </w:p>
        </w:tc>
        <w:tc>
          <w:tcPr/>
          <w:p>
            <w:pPr>
              <w:pStyle w:val="Compact"/>
              <w:jc w:val="left"/>
            </w:pPr>
            <w:r>
              <w:t xml:space="preserve">864.50 EUR</w:t>
            </w:r>
          </w:p>
        </w:tc>
      </w:tr>
      <w:tr>
        <w:tc>
          <w:tcPr/>
          <w:p>
            <w:pPr>
              <w:pStyle w:val="Compact"/>
              <w:jc w:val="left"/>
            </w:pPr>
            <w:r>
              <w:t xml:space="preserve">VAT / USt (19%)</w:t>
            </w:r>
          </w:p>
        </w:tc>
        <w:tc>
          <w:tcPr/>
          <w:p>
            <w:pPr>
              <w:pStyle w:val="Compact"/>
              <w:jc w:val="left"/>
            </w:pPr>
            <w:r>
              <w:t xml:space="preserve">164.26 EUR</w:t>
            </w:r>
          </w:p>
        </w:tc>
      </w:tr>
      <w:tr>
        <w:tc>
          <w:tcPr/>
          <w:p>
            <w:pPr>
              <w:pStyle w:val="Compact"/>
              <w:jc w:val="left"/>
            </w:pPr>
            <w:r>
              <w:t xml:space="preserve">Total Amount Due (Brutto)</w:t>
            </w:r>
          </w:p>
        </w:tc>
        <w:tc>
          <w:tcPr/>
          <w:p>
            <w:pPr>
              <w:pStyle w:val="Compact"/>
              <w:jc w:val="left"/>
            </w:pPr>
            <w:r>
              <w:t xml:space="preserve">1,028.76 EUR</w:t>
            </w:r>
          </w:p>
        </w:tc>
      </w:tr>
    </w:tbl>
    <w:bookmarkEnd w:id="24"/>
    <w:bookmarkStart w:id="25" w:name="payment-instructions-and-invoice-notes"/>
    <w:p>
      <w:pPr>
        <w:pStyle w:val="Heading3"/>
      </w:pPr>
      <w:r>
        <w:t xml:space="preserve">Payment Instructions and Invoice Notes</w:t>
      </w:r>
    </w:p>
    <w:p>
      <w:pPr>
        <w:pStyle w:val="FirstParagraph"/>
      </w:pPr>
      <w:r>
        <w:rPr>
          <w:bCs/>
          <w:b/>
        </w:rPr>
        <w:t xml:space="preserve">Payment Method:</w:t>
      </w:r>
      <w:r>
        <w:t xml:space="preserve"> </w:t>
      </w:r>
      <w:r>
        <w:t xml:space="preserve">Bank transfer (Überweisung) to the account below. Please reference Invoice No. VET-FRA-2025-04872 in your transfer memo.</w:t>
      </w:r>
    </w:p>
    <w:p>
      <w:pPr>
        <w:pStyle w:val="BodyText"/>
      </w:pPr>
      <w:r>
        <w:rPr>
          <w:bCs/>
          <w:b/>
        </w:rPr>
        <w:t xml:space="preserve">Bank:</w:t>
      </w:r>
      <w:r>
        <w:t xml:space="preserve"> </w:t>
      </w:r>
      <w:r>
        <w:t xml:space="preserve">Commerzbank AG, Frankfurt am Main</w:t>
      </w:r>
    </w:p>
    <w:p>
      <w:pPr>
        <w:pStyle w:val="BodyText"/>
      </w:pPr>
      <w:r>
        <w:rPr>
          <w:bCs/>
          <w:b/>
        </w:rPr>
        <w:t xml:space="preserve">IBAN:</w:t>
      </w:r>
      <w:r>
        <w:t xml:space="preserve"> </w:t>
      </w:r>
      <w:r>
        <w:t xml:space="preserve">DE89 3704 0044 0532 0100 00</w:t>
      </w:r>
    </w:p>
    <w:p>
      <w:pPr>
        <w:pStyle w:val="BodyText"/>
      </w:pPr>
      <w:r>
        <w:rPr>
          <w:bCs/>
          <w:b/>
        </w:rPr>
        <w:t xml:space="preserve">BIC:</w:t>
      </w:r>
      <w:r>
        <w:t xml:space="preserve"> </w:t>
      </w:r>
      <w:r>
        <w:t xml:space="preserve">COBADEFFXXX</w:t>
      </w:r>
    </w:p>
    <w:p>
      <w:pPr>
        <w:pStyle w:val="BodyText"/>
      </w:pPr>
      <w:r>
        <w:rPr>
          <w:bCs/>
          <w:b/>
        </w:rPr>
        <w:t xml:space="preserve">Account Holder:</w:t>
      </w:r>
      <w:r>
        <w:t xml:space="preserve"> </w:t>
      </w:r>
      <w:r>
        <w:t xml:space="preserve">Dr. Heinrich Vogel – Praxis für Tiermedizin</w:t>
      </w:r>
    </w:p>
    <w:p>
      <w:pPr>
        <w:pStyle w:val="BodyText"/>
      </w:pPr>
      <w:r>
        <w:rPr>
          <w:bCs/>
          <w:b/>
        </w:rPr>
        <w:t xml:space="preserve">Important:</w:t>
      </w:r>
      <w:r>
        <w:t xml:space="preserve"> </w:t>
      </w:r>
      <w:r>
        <w:t xml:space="preserve">This Invoice is valid for 14 calendar days from the date of issue. In accordance with German commercial law (HGB § 286), a late payment interest of 5 percentage points above the base rate will be applied to overdue amounts. Please contact our Veterinarian office immediately if you have any questions regarding this Invoice or require a payment plan arrangement.</w:t>
      </w:r>
    </w:p>
    <w:p>
      <w:pPr>
        <w:pStyle w:val="BodyText"/>
      </w:pPr>
      <w:r>
        <w:rPr>
          <w:bCs/>
          <w:b/>
        </w:rPr>
        <w:t xml:space="preserve">Warranty:</w:t>
      </w:r>
      <w:r>
        <w:t xml:space="preserve"> </w:t>
      </w:r>
      <w:r>
        <w:t xml:space="preserve">All veterinary services described in this Invoice are performed in full compliance with the professional standards of the Tierärztekammer Hessen. The Veterinarian team at our Germany Frankfurt clinic guarantees the quality and accuracy of all diagnostic findings and therapeutic recommendations documented herein.</w:t>
      </w:r>
    </w:p>
    <w:p>
      <w:pPr>
        <w:pStyle w:val="BodyText"/>
      </w:pPr>
      <w:r>
        <w:rPr>
          <w:bCs/>
          <w:b/>
        </w:rPr>
        <w:t xml:space="preserve">Records:</w:t>
      </w:r>
      <w:r>
        <w:t xml:space="preserve"> </w:t>
      </w:r>
      <w:r>
        <w:t xml:space="preserve">A copy of this Invoice and all associated medical records will be retained in the patient file at our clinic for a minimum of 10 years as required by German veterinary professional regulations.</w:t>
      </w:r>
    </w:p>
    <w:bookmarkEnd w:id="25"/>
    <w:p>
      <w:pPr>
        <w:pStyle w:val="BodyText"/>
      </w:pPr>
      <w:r>
        <w:rPr>
          <w:bCs/>
          <w:b/>
        </w:rPr>
        <w:t xml:space="preserve">Dr. Heinrich Vogel – Veterinarian Clinic | Praxis für Tiermedizin am Mainufer</w:t>
      </w:r>
    </w:p>
    <w:p>
      <w:pPr>
        <w:pStyle w:val="BodyText"/>
      </w:pPr>
      <w:r>
        <w:t xml:space="preserve">Mainufer 42, 60311 Frankfurt am Main, Germany | Phone: +49 (0)69 4455 8821 | Email: info@veterinaer-frankfurt.de</w:t>
      </w:r>
    </w:p>
    <w:p>
      <w:pPr>
        <w:pStyle w:val="BodyText"/>
      </w:pPr>
      <w:r>
        <w:t xml:space="preserve">USt-IdNr.: DE 294 581 733 | Register Court: Amtsgericht Frankfurt am Main, HRB 45821</w:t>
      </w:r>
    </w:p>
    <w:p>
      <w:pPr>
        <w:pStyle w:val="BodyText"/>
      </w:pPr>
      <w:r>
        <w:t xml:space="preserve">Member of the Chamber of Veterinary Surgeons, Hesse (Tierärztekammer Hessen) | Licensed Veterinarian, Germany</w:t>
      </w:r>
    </w:p>
    <w:p>
      <w:pPr>
        <w:pStyle w:val="BodyText"/>
      </w:pPr>
      <w:r>
        <w:t xml:space="preserve">Thank you for trusting our Veterinarian team in Germany Frankfurt with the care of your beloved companion. We are committed to providing the highest standard of veterinary medicine in the Frankfurt region and beyond.</w:t>
      </w:r>
    </w:p>
    <w:p>
      <w:pPr>
        <w:pStyle w:val="BodyText"/>
      </w:pPr>
      <w:r>
        <w:t xml:space="preserve">This Invoice was generated electronically and is valid without a physical signature pursuant to § 14 (3) UStG (German VAT 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Frankfurt, Germany</dc:title>
  <dc:creator/>
  <dc:language>en</dc:language>
  <cp:keywords/>
  <dcterms:created xsi:type="dcterms:W3CDTF">2026-10-10T07:32:24Z</dcterms:created>
  <dcterms:modified xsi:type="dcterms:W3CDTF">2026-10-10T07:32:24Z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