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Invoice</w:t>
      </w:r>
      <w:r>
        <w:t xml:space="preserve"> </w:t>
      </w:r>
      <w:r>
        <w:t xml:space="preserve">-</w:t>
      </w:r>
      <w:r>
        <w:t xml:space="preserve"> </w:t>
      </w:r>
      <w:r>
        <w:t xml:space="preserve">Qatar</w:t>
      </w:r>
      <w:r>
        <w:t xml:space="preserve"> </w:t>
      </w:r>
      <w:r>
        <w:t xml:space="preserve">Doha</w:t>
      </w:r>
    </w:p>
    <w:bookmarkStart w:id="20" w:name="petcare-doha-veterinary-clinic"/>
    <w:p>
      <w:pPr>
        <w:pStyle w:val="Heading1"/>
      </w:pPr>
      <w:r>
        <w:t xml:space="preserve">PetCare Doha Veterinary Clinic</w:t>
      </w:r>
    </w:p>
    <w:p>
      <w:pPr>
        <w:pStyle w:val="FirstParagraph"/>
      </w:pPr>
      <w:r>
        <w:t xml:space="preserve">Registered Veterinarian Practice – State of Qatar</w:t>
      </w:r>
    </w:p>
    <w:p>
      <w:pPr>
        <w:pStyle w:val="BodyText"/>
      </w:pPr>
      <w:r>
        <w:t xml:space="preserve">Street 27, Al Sadd District, Doha, Qatar</w:t>
      </w:r>
    </w:p>
    <w:p>
      <w:pPr>
        <w:pStyle w:val="BodyText"/>
      </w:pPr>
      <w:r>
        <w:t xml:space="preserve">Phone: +974 4455 6677 | Email: billing@petcare-doha.qa</w:t>
      </w:r>
    </w:p>
    <w:p>
      <w:pPr>
        <w:pStyle w:val="BodyText"/>
      </w:pPr>
      <w:r>
        <w:t xml:space="preserve">Commercial Registration No: 123456 | Ministry of Public Health License: VET-QA-2024-0891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VET-DHA-2025-04872</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30 June 2025</w:t>
      </w:r>
    </w:p>
    <w:p>
      <w:pPr>
        <w:pStyle w:val="BodyText"/>
      </w:pPr>
      <w:r>
        <w:t xml:space="preserve">PENDING PAYMENT</w:t>
      </w:r>
    </w:p>
    <w:bookmarkEnd w:id="21"/>
    <w:bookmarkStart w:id="22" w:name="billed-to-pet-owner"/>
    <w:p>
      <w:pPr>
        <w:pStyle w:val="Heading3"/>
      </w:pPr>
      <w:r>
        <w:t xml:space="preserve">Billed To (Pet Owner)</w:t>
      </w:r>
    </w:p>
    <w:p>
      <w:pPr>
        <w:pStyle w:val="FirstParagraph"/>
      </w:pPr>
      <w:r>
        <w:rPr>
          <w:bCs/>
          <w:b/>
        </w:rPr>
        <w:t xml:space="preserve">Name:</w:t>
      </w:r>
      <w:r>
        <w:t xml:space="preserve"> </w:t>
      </w:r>
      <w:r>
        <w:t xml:space="preserve">Mr. Ahmed Al-Khalifa</w:t>
      </w:r>
    </w:p>
    <w:p>
      <w:pPr>
        <w:pStyle w:val="BodyText"/>
      </w:pPr>
      <w:r>
        <w:rPr>
          <w:bCs/>
          <w:b/>
        </w:rPr>
        <w:t xml:space="preserve">Address:</w:t>
      </w:r>
      <w:r>
        <w:t xml:space="preserve"> </w:t>
      </w:r>
      <w:r>
        <w:t xml:space="preserve">Villa 42, Street 12, Al Waab District, Doha, Qatar</w:t>
      </w:r>
    </w:p>
    <w:p>
      <w:pPr>
        <w:pStyle w:val="BodyText"/>
      </w:pPr>
      <w:r>
        <w:rPr>
          <w:bCs/>
          <w:b/>
        </w:rPr>
        <w:t xml:space="preserve">Phone:</w:t>
      </w:r>
      <w:r>
        <w:t xml:space="preserve"> </w:t>
      </w:r>
      <w:r>
        <w:t xml:space="preserve">+974 3388 9900</w:t>
      </w:r>
    </w:p>
    <w:p>
      <w:pPr>
        <w:pStyle w:val="BodyText"/>
      </w:pPr>
      <w:r>
        <w:rPr>
          <w:bCs/>
          <w:b/>
        </w:rPr>
        <w:t xml:space="preserve">Email:</w:t>
      </w:r>
      <w:r>
        <w:t xml:space="preserve"> </w:t>
      </w:r>
      <w:r>
        <w:t xml:space="preserve">ahmed.khalifa@email.com</w:t>
      </w:r>
    </w:p>
    <w:p>
      <w:pPr>
        <w:pStyle w:val="BodyText"/>
      </w:pPr>
      <w:r>
        <w:rPr>
          <w:bCs/>
          <w:b/>
        </w:rPr>
        <w:t xml:space="preserve">Qatar ID No:</w:t>
      </w:r>
      <w:r>
        <w:t xml:space="preserve"> </w:t>
      </w:r>
      <w:r>
        <w:t xml:space="preserve">29856741234</w:t>
      </w:r>
    </w:p>
    <w:bookmarkEnd w:id="22"/>
    <w:bookmarkStart w:id="23" w:name="patient-pet-details"/>
    <w:p>
      <w:pPr>
        <w:pStyle w:val="Heading3"/>
      </w:pPr>
      <w:r>
        <w:t xml:space="preserve">Patient (Pet) Details</w:t>
      </w:r>
    </w:p>
    <w:p>
      <w:pPr>
        <w:pStyle w:val="FirstParagraph"/>
      </w:pPr>
      <w:r>
        <w:rPr>
          <w:bCs/>
          <w:b/>
        </w:rPr>
        <w:t xml:space="preserve">Pet Name:</w:t>
      </w:r>
      <w:r>
        <w:t xml:space="preserve"> </w:t>
      </w:r>
      <w:r>
        <w:t xml:space="preserve">Luna</w:t>
      </w:r>
    </w:p>
    <w:p>
      <w:pPr>
        <w:pStyle w:val="BodyText"/>
      </w:pPr>
      <w:r>
        <w:rPr>
          <w:bCs/>
          <w:b/>
        </w:rPr>
        <w:t xml:space="preserve">Species / Breed:</w:t>
      </w:r>
      <w:r>
        <w:t xml:space="preserve"> </w:t>
      </w:r>
      <w:r>
        <w:t xml:space="preserve">Dog – German Shepherd</w:t>
      </w:r>
    </w:p>
    <w:p>
      <w:pPr>
        <w:pStyle w:val="BodyText"/>
      </w:pPr>
      <w:r>
        <w:rPr>
          <w:bCs/>
          <w:b/>
        </w:rPr>
        <w:t xml:space="preserve">Age:</w:t>
      </w:r>
      <w:r>
        <w:t xml:space="preserve"> </w:t>
      </w:r>
      <w:r>
        <w:t xml:space="preserve">4 years</w:t>
      </w:r>
    </w:p>
    <w:p>
      <w:pPr>
        <w:pStyle w:val="BodyText"/>
      </w:pPr>
      <w:r>
        <w:rPr>
          <w:bCs/>
          <w:b/>
        </w:rPr>
        <w:t xml:space="preserve">Sex:</w:t>
      </w:r>
      <w:r>
        <w:t xml:space="preserve"> </w:t>
      </w:r>
      <w:r>
        <w:t xml:space="preserve">Female (Spayed)</w:t>
      </w:r>
    </w:p>
    <w:p>
      <w:pPr>
        <w:pStyle w:val="BodyText"/>
      </w:pPr>
      <w:r>
        <w:rPr>
          <w:bCs/>
          <w:b/>
        </w:rPr>
        <w:t xml:space="preserve">Microchip No:</w:t>
      </w:r>
      <w:r>
        <w:t xml:space="preserve"> </w:t>
      </w:r>
      <w:r>
        <w:t xml:space="preserve">941000012345678</w:t>
      </w:r>
    </w:p>
    <w:p>
      <w:pPr>
        <w:pStyle w:val="BodyText"/>
      </w:pPr>
      <w:r>
        <w:rPr>
          <w:bCs/>
          <w:b/>
        </w:rPr>
        <w:t xml:space="preserve">Weight:</w:t>
      </w:r>
      <w:r>
        <w:t xml:space="preserve"> </w:t>
      </w:r>
      <w:r>
        <w:t xml:space="preserve">32.5 kg</w:t>
      </w:r>
    </w:p>
    <w:bookmarkEnd w:id="23"/>
    <w:p>
      <w:pPr>
        <w:pStyle w:val="BodyText"/>
      </w:pPr>
      <w:r>
        <w:t xml:space="preserve">Veterinarian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Veterinarian Service</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(QAR)</w:t>
            </w:r>
          </w:p>
        </w:tc>
        <w:tc>
          <w:tcPr/>
          <w:p>
            <w:pPr>
              <w:pStyle w:val="Compact"/>
              <w:jc w:val="left"/>
            </w:pPr>
            <w:r>
              <w:t xml:space="preserve">Amount (QAR)</w:t>
            </w:r>
          </w:p>
        </w:tc>
      </w:tr>
      <w:tr>
        <w:tc>
          <w:tcPr/>
          <w:p>
            <w:pPr>
              <w:pStyle w:val="Compact"/>
              <w:jc w:val="left"/>
            </w:pPr>
            <w:r>
              <w:t xml:space="preserve">01</w:t>
            </w:r>
          </w:p>
        </w:tc>
        <w:tc>
          <w:tcPr/>
          <w:p>
            <w:pPr>
              <w:pStyle w:val="Compact"/>
              <w:jc w:val="left"/>
            </w:pPr>
            <w:r>
              <w:t xml:space="preserve">Comprehensive veterinary examination and diagnostic consultation by Lead Veterinarian Dr. Sarah Mitchell, DVM, DACVMP – including full physical assessment, auscultation, and orthopedic evaluation of the hind limbs.</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02</w:t>
            </w:r>
          </w:p>
        </w:tc>
        <w:tc>
          <w:tcPr/>
          <w:p>
            <w:pPr>
              <w:pStyle w:val="Compact"/>
              <w:jc w:val="left"/>
            </w:pPr>
            <w:r>
              <w:t xml:space="preserve">Digital radiography (X-ray) – bilateral hind limb and pelvic region, 4 views, performed at our Qatar Doha imaging suite with digital interpretation by the attending Veterinarian.</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03</w:t>
            </w:r>
          </w:p>
        </w:tc>
        <w:tc>
          <w:tcPr/>
          <w:p>
            <w:pPr>
              <w:pStyle w:val="Compact"/>
              <w:jc w:val="left"/>
            </w:pPr>
            <w:r>
              <w:t xml:space="preserve">Complete blood count (CBC) and serum biochemistry panel – 24-item veterinary diagnostic laboratory workup processed in-house at our Doha facility.</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480.00</w:t>
            </w:r>
          </w:p>
        </w:tc>
        <w:tc>
          <w:tcPr/>
          <w:p>
            <w:pPr>
              <w:pStyle w:val="Compact"/>
              <w:jc w:val="left"/>
            </w:pPr>
            <w:r>
              <w:t xml:space="preserve">480.00</w:t>
            </w:r>
          </w:p>
        </w:tc>
      </w:tr>
      <w:tr>
        <w:tc>
          <w:tcPr/>
          <w:p>
            <w:pPr>
              <w:pStyle w:val="Compact"/>
              <w:jc w:val="left"/>
            </w:pPr>
            <w:r>
              <w:t xml:space="preserve">04</w:t>
            </w:r>
          </w:p>
        </w:tc>
        <w:tc>
          <w:tcPr/>
          <w:p>
            <w:pPr>
              <w:pStyle w:val="Compact"/>
              <w:jc w:val="left"/>
            </w:pPr>
            <w:r>
              <w:t xml:space="preserve">Ultrasonography – abdominal and pelvic region, performed by certified veterinary sonographer with written report signed by the supervising Veterinarian.</w:t>
            </w:r>
          </w:p>
        </w:tc>
        <w:tc>
          <w:tcPr/>
          <w:p>
            <w:pPr>
              <w:pStyle w:val="Compact"/>
              <w:jc w:val="left"/>
            </w:pPr>
            <w:r>
              <w:t xml:space="preserve">13 Jun 2025</w:t>
            </w:r>
          </w:p>
        </w:tc>
        <w:tc>
          <w:tcPr/>
          <w:p>
            <w:pPr>
              <w:pStyle w:val="Compact"/>
              <w:jc w:val="left"/>
            </w:pPr>
            <w:r>
              <w:t xml:space="preserve">1</w:t>
            </w:r>
          </w:p>
        </w:tc>
        <w:tc>
          <w:tcPr/>
          <w:p>
            <w:pPr>
              <w:pStyle w:val="Compact"/>
              <w:jc w:val="left"/>
            </w:pPr>
            <w:r>
              <w:t xml:space="preserve">520.00</w:t>
            </w:r>
          </w:p>
        </w:tc>
        <w:tc>
          <w:tcPr/>
          <w:p>
            <w:pPr>
              <w:pStyle w:val="Compact"/>
              <w:jc w:val="left"/>
            </w:pPr>
            <w:r>
              <w:t xml:space="preserve">520.00</w:t>
            </w:r>
          </w:p>
        </w:tc>
      </w:tr>
      <w:tr>
        <w:tc>
          <w:tcPr/>
          <w:p>
            <w:pPr>
              <w:pStyle w:val="Compact"/>
              <w:jc w:val="left"/>
            </w:pPr>
            <w:r>
              <w:t xml:space="preserve">05</w:t>
            </w:r>
          </w:p>
        </w:tc>
        <w:tc>
          <w:tcPr/>
          <w:p>
            <w:pPr>
              <w:pStyle w:val="Compact"/>
              <w:jc w:val="left"/>
            </w:pPr>
            <w:r>
              <w:t xml:space="preserve">Orthopedic surgical procedure – Total Hip Replacement (THR), left hind limb, including pre-anesthetic blood work, general anesthesia, surgical intervention by senior orthopedic Veterinarian, and post-operative monitoring for 6 hours.</w:t>
            </w:r>
          </w:p>
        </w:tc>
        <w:tc>
          <w:tcPr/>
          <w:p>
            <w:pPr>
              <w:pStyle w:val="Compact"/>
              <w:jc w:val="left"/>
            </w:pPr>
            <w:r>
              <w:t xml:space="preserve">14 Jun 2025</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06</w:t>
            </w:r>
          </w:p>
        </w:tc>
        <w:tc>
          <w:tcPr/>
          <w:p>
            <w:pPr>
              <w:pStyle w:val="Compact"/>
              <w:jc w:val="left"/>
            </w:pPr>
            <w:r>
              <w:t xml:space="preserve">Post-operative inpatient care – 48-hour hospitalization at our Qatar Doha veterinary hospital, including IV fluid therapy, analgesic administration (Carprofen 75 mg BID), wound checks every 8 hours, and physiotherapy sessions.</w:t>
            </w:r>
          </w:p>
        </w:tc>
        <w:tc>
          <w:tcPr/>
          <w:p>
            <w:pPr>
              <w:pStyle w:val="Compact"/>
              <w:jc w:val="left"/>
            </w:pPr>
            <w:r>
              <w:t xml:space="preserve">14–15 Jun 2025</w:t>
            </w:r>
          </w:p>
        </w:tc>
        <w:tc>
          <w:tcPr/>
          <w:p>
            <w:pPr>
              <w:pStyle w:val="Compact"/>
              <w:jc w:val="left"/>
            </w:pPr>
            <w:r>
              <w:t xml:space="preserve">2</w:t>
            </w:r>
          </w:p>
        </w:tc>
        <w:tc>
          <w:tcPr/>
          <w:p>
            <w:pPr>
              <w:pStyle w:val="Compact"/>
              <w:jc w:val="left"/>
            </w:pPr>
            <w:r>
              <w:t xml:space="preserve">450.00</w:t>
            </w:r>
          </w:p>
        </w:tc>
        <w:tc>
          <w:tcPr/>
          <w:p>
            <w:pPr>
              <w:pStyle w:val="Compact"/>
              <w:jc w:val="left"/>
            </w:pPr>
            <w:r>
              <w:t xml:space="preserve">900.00</w:t>
            </w:r>
          </w:p>
        </w:tc>
      </w:tr>
      <w:tr>
        <w:tc>
          <w:tcPr/>
          <w:p>
            <w:pPr>
              <w:pStyle w:val="Compact"/>
              <w:jc w:val="left"/>
            </w:pPr>
            <w:r>
              <w:t xml:space="preserve">07</w:t>
            </w:r>
          </w:p>
        </w:tc>
        <w:tc>
          <w:tcPr/>
          <w:p>
            <w:pPr>
              <w:pStyle w:val="Compact"/>
              <w:jc w:val="left"/>
            </w:pPr>
            <w:r>
              <w:t xml:space="preserve">Prescribed medications – Carprofen 75 mg tablets (30 count), Gabapentin 300 mg capsules (30 count), and Meloxicam 1.5 mg/ml oral suspension (60 ml), dispensed by our in-house veterinary pharmacy in Doha.</w:t>
            </w:r>
          </w:p>
        </w:tc>
        <w:tc>
          <w:tcPr/>
          <w:p>
            <w:pPr>
              <w:pStyle w:val="Compact"/>
              <w:jc w:val="left"/>
            </w:pPr>
            <w:r>
              <w:t xml:space="preserve">15 Jun 2025</w:t>
            </w:r>
          </w:p>
        </w:tc>
        <w:tc>
          <w:tcPr/>
          <w:p>
            <w:pPr>
              <w:pStyle w:val="Compact"/>
              <w:jc w:val="left"/>
            </w:pPr>
            <w:r>
              <w:t xml:space="preserve">1</w:t>
            </w:r>
          </w:p>
        </w:tc>
        <w:tc>
          <w:tcPr/>
          <w:p>
            <w:pPr>
              <w:pStyle w:val="Compact"/>
              <w:jc w:val="left"/>
            </w:pPr>
            <w:r>
              <w:t xml:space="preserve">385.00</w:t>
            </w:r>
          </w:p>
        </w:tc>
        <w:tc>
          <w:tcPr/>
          <w:p>
            <w:pPr>
              <w:pStyle w:val="Compact"/>
              <w:jc w:val="left"/>
            </w:pPr>
            <w:r>
              <w:t xml:space="preserve">385.00</w:t>
            </w:r>
          </w:p>
        </w:tc>
      </w:tr>
      <w:tr>
        <w:tc>
          <w:tcPr/>
          <w:p>
            <w:pPr>
              <w:pStyle w:val="Compact"/>
              <w:jc w:val="left"/>
            </w:pPr>
            <w:r>
              <w:t xml:space="preserve">08</w:t>
            </w:r>
          </w:p>
        </w:tc>
        <w:tc>
          <w:tcPr/>
          <w:p>
            <w:pPr>
              <w:pStyle w:val="Compact"/>
              <w:jc w:val="left"/>
            </w:pPr>
            <w:r>
              <w:t xml:space="preserve">Follow-up veterinary consultation and suture removal appointment – scheduled for 28 June 2025, including radiographic re-evaluation to confirm implant positioning.</w:t>
            </w:r>
          </w:p>
        </w:tc>
        <w:tc>
          <w:tcPr/>
          <w:p>
            <w:pPr>
              <w:pStyle w:val="Compact"/>
              <w:jc w:val="left"/>
            </w:pPr>
            <w:r>
              <w:t xml:space="preserve">28 Jun 2025</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12,035.00 QAR</w:t>
            </w:r>
          </w:p>
        </w:tc>
      </w:tr>
      <w:tr>
        <w:tc>
          <w:tcPr/>
          <w:p>
            <w:pPr>
              <w:pStyle w:val="Compact"/>
              <w:jc w:val="left"/>
            </w:pPr>
            <w:r>
              <w:t xml:space="preserve">Emergency / After-Hours Surcharge (10%)</w:t>
            </w:r>
          </w:p>
        </w:tc>
        <w:tc>
          <w:tcPr/>
          <w:p>
            <w:pPr>
              <w:pStyle w:val="Compact"/>
              <w:jc w:val="left"/>
            </w:pPr>
            <w:r>
              <w:t xml:space="preserve">1,203.50 QAR</w:t>
            </w:r>
          </w:p>
        </w:tc>
      </w:tr>
      <w:tr>
        <w:tc>
          <w:tcPr/>
          <w:p>
            <w:pPr>
              <w:pStyle w:val="Compact"/>
              <w:jc w:val="left"/>
            </w:pPr>
            <w:r>
              <w:t xml:space="preserve">Consumables &amp; Surgical Implants</w:t>
            </w:r>
          </w:p>
        </w:tc>
        <w:tc>
          <w:tcPr/>
          <w:p>
            <w:pPr>
              <w:pStyle w:val="Compact"/>
              <w:jc w:val="left"/>
            </w:pPr>
            <w:r>
              <w:t xml:space="preserve">2,150.00 QAR</w:t>
            </w:r>
          </w:p>
        </w:tc>
      </w:tr>
      <w:tr>
        <w:tc>
          <w:tcPr/>
          <w:p>
            <w:pPr>
              <w:pStyle w:val="Compact"/>
              <w:jc w:val="left"/>
            </w:pPr>
            <w:r>
              <w:t xml:space="preserve">Service Tax (5% – Qatar)</w:t>
            </w:r>
          </w:p>
        </w:tc>
        <w:tc>
          <w:tcPr/>
          <w:p>
            <w:pPr>
              <w:pStyle w:val="Compact"/>
              <w:jc w:val="left"/>
            </w:pPr>
            <w:r>
              <w:t xml:space="preserve">766.93 QAR</w:t>
            </w:r>
          </w:p>
        </w:tc>
      </w:tr>
      <w:tr>
        <w:tc>
          <w:tcPr/>
          <w:p>
            <w:pPr>
              <w:pStyle w:val="Compact"/>
              <w:jc w:val="left"/>
            </w:pPr>
            <w:r>
              <w:t xml:space="preserve">GRAND TOTAL DUE</w:t>
            </w:r>
          </w:p>
        </w:tc>
        <w:tc>
          <w:tcPr/>
          <w:p>
            <w:pPr>
              <w:pStyle w:val="Compact"/>
              <w:jc w:val="left"/>
            </w:pPr>
            <w:r>
              <w:t xml:space="preserve">16,155.43 QAR</w:t>
            </w:r>
          </w:p>
        </w:tc>
      </w:tr>
    </w:tbl>
    <w:p>
      <w:pPr>
        <w:pStyle w:val="BodyText"/>
      </w:pPr>
      <w:r>
        <w:t xml:space="preserve">Payment Instructions</w:t>
      </w:r>
    </w:p>
    <w:p>
      <w:pPr>
        <w:pStyle w:val="BodyText"/>
      </w:pPr>
      <w:r>
        <w:rPr>
          <w:bCs/>
          <w:b/>
        </w:rPr>
        <w:t xml:space="preserve">Bank:</w:t>
      </w:r>
      <w:r>
        <w:t xml:space="preserve"> </w:t>
      </w:r>
      <w:r>
        <w:t xml:space="preserve">QNB – Qatar National Bank</w:t>
      </w:r>
    </w:p>
    <w:p>
      <w:pPr>
        <w:pStyle w:val="BodyText"/>
      </w:pPr>
      <w:r>
        <w:rPr>
          <w:bCs/>
          <w:b/>
        </w:rPr>
        <w:t xml:space="preserve">Account Name:</w:t>
      </w:r>
      <w:r>
        <w:t xml:space="preserve"> </w:t>
      </w:r>
      <w:r>
        <w:t xml:space="preserve">PetCare Doha Veterinary Clinic WLL</w:t>
      </w:r>
    </w:p>
    <w:p>
      <w:pPr>
        <w:pStyle w:val="BodyText"/>
      </w:pPr>
      <w:r>
        <w:rPr>
          <w:bCs/>
          <w:b/>
        </w:rPr>
        <w:t xml:space="preserve">IBAN:</w:t>
      </w:r>
      <w:r>
        <w:t xml:space="preserve"> </w:t>
      </w:r>
      <w:r>
        <w:t xml:space="preserve">QA5800000000000012345678</w:t>
      </w:r>
    </w:p>
    <w:p>
      <w:pPr>
        <w:pStyle w:val="BodyText"/>
      </w:pPr>
      <w:r>
        <w:rPr>
          <w:bCs/>
          <w:b/>
        </w:rPr>
        <w:t xml:space="preserve">SWIFT Code:</w:t>
      </w:r>
      <w:r>
        <w:t xml:space="preserve"> </w:t>
      </w:r>
      <w:r>
        <w:t xml:space="preserve">QNBQQAQA</w:t>
      </w:r>
    </w:p>
    <w:p>
      <w:pPr>
        <w:pStyle w:val="BodyText"/>
      </w:pPr>
      <w:r>
        <w:rPr>
          <w:bCs/>
          <w:b/>
        </w:rPr>
        <w:t xml:space="preserve">Reference:</w:t>
      </w:r>
      <w:r>
        <w:t xml:space="preserve"> </w:t>
      </w:r>
      <w:r>
        <w:t xml:space="preserve">Please quote Invoice No. VET-DHA-2025-04872 in all payment communications.</w:t>
      </w:r>
    </w:p>
    <w:p>
      <w:pPr>
        <w:pStyle w:val="BodyText"/>
      </w:pPr>
      <w:r>
        <w:rPr>
          <w:bCs/>
          <w:b/>
        </w:rPr>
        <w:t xml:space="preserve">Accepted Methods:</w:t>
      </w:r>
      <w:r>
        <w:t xml:space="preserve"> </w:t>
      </w:r>
      <w:r>
        <w:t xml:space="preserve">Bank transfer, credit/debit card (Visa, Mastercard, Amex), or cash at our Doha reception desk.</w:t>
      </w:r>
    </w:p>
    <w:p>
      <w:pPr>
        <w:pStyle w:val="BodyText"/>
      </w:pPr>
      <w:r>
        <w:rPr>
          <w:bCs/>
          <w:b/>
        </w:rPr>
        <w:t xml:space="preserve">Important Notes from Your Veterinarian:</w:t>
      </w:r>
      <w:r>
        <w:br/>
      </w:r>
      <w:r>
        <w:t xml:space="preserve">Dear Mr. Al-Khalifa, this Invoice reflects the complete veterinary care provided to Luna during her hospitalization at our Qatar Doha facility. The Total Hip Replacement procedure was performed successfully, and Luna is expected to make a full recovery within 8 to 12 weeks with consistent physiotherapy. Please ensure she remains on strict rest for the first 14 days and attends all scheduled follow-up appointments. The prescribed medications must be administered exactly as directed by your Veterinarian. Should you have any concerns regarding her post-operative recovery, please contact our clinic at +974 4455 6677. This Invoice is valid for 30 days from the date of issue.</w:t>
      </w:r>
    </w:p>
    <w:bookmarkStart w:id="24" w:name="terms-conditions-of-this-invoice"/>
    <w:p>
      <w:pPr>
        <w:pStyle w:val="Heading3"/>
      </w:pPr>
      <w:r>
        <w:t xml:space="preserve">Terms &amp; Conditions of This Invoice</w:t>
      </w:r>
    </w:p>
    <w:p>
      <w:pPr>
        <w:numPr>
          <w:ilvl w:val="0"/>
          <w:numId w:val="1001"/>
        </w:numPr>
        <w:pStyle w:val="Compact"/>
      </w:pPr>
      <w:r>
        <w:t xml:space="preserve">This Invoice is issued by PetCare Doha Veterinary Clinic, a licensed Veterinarian practice registered with the Ministry of Public Health, State of Qatar, and is governed by the laws of Qatar.</w:t>
      </w:r>
    </w:p>
    <w:p>
      <w:pPr>
        <w:numPr>
          <w:ilvl w:val="0"/>
          <w:numId w:val="1001"/>
        </w:numPr>
        <w:pStyle w:val="Compact"/>
      </w:pPr>
      <w:r>
        <w:t xml:space="preserve">Payment of the full amount stated on this Invoice is due within 30 calendar days from the date of issue. Late payments may incur a 2% monthly interest charge as permitted under Qatar commercial regulations.</w:t>
      </w:r>
    </w:p>
    <w:p>
      <w:pPr>
        <w:numPr>
          <w:ilvl w:val="0"/>
          <w:numId w:val="1001"/>
        </w:numPr>
        <w:pStyle w:val="Compact"/>
      </w:pPr>
      <w:r>
        <w:t xml:space="preserve">All veterinary services described in this Invoice were performed by qualified, licensed Veterinarians and veterinary technicians at our facility in Doha, Qatar. Diagnostic reports and surgical records are available upon written request.</w:t>
      </w:r>
    </w:p>
    <w:p>
      <w:pPr>
        <w:numPr>
          <w:ilvl w:val="0"/>
          <w:numId w:val="1001"/>
        </w:numPr>
        <w:pStyle w:val="Compact"/>
      </w:pPr>
      <w:r>
        <w:t xml:space="preserve">This Invoice does not constitute a guarantee of outcome. Veterinary medicine, like all medical disciplines, involves inherent risks. The attending Veterinarian has exercised the standard of care expected in Qatar Doha veterinary practice.</w:t>
      </w:r>
    </w:p>
    <w:p>
      <w:pPr>
        <w:numPr>
          <w:ilvl w:val="0"/>
          <w:numId w:val="1001"/>
        </w:numPr>
        <w:pStyle w:val="Compact"/>
      </w:pPr>
      <w:r>
        <w:t xml:space="preserve">Any disputes arising from this Invoice shall be resolved through the Qatar Small Claims Court or by mutual arbitration in Doha, Qatar, in accordance with applicable Qatari law.</w:t>
      </w:r>
    </w:p>
    <w:p>
      <w:pPr>
        <w:numPr>
          <w:ilvl w:val="0"/>
          <w:numId w:val="1001"/>
        </w:numPr>
        <w:pStyle w:val="Compact"/>
      </w:pPr>
      <w:r>
        <w:t xml:space="preserve">Prescriptions and medications dispensed under this Invoice are for the exclusive use of the named patient. Redistribution or transfer is prohibited under Qatar pharmaceutical regulations.</w:t>
      </w:r>
    </w:p>
    <w:p>
      <w:pPr>
        <w:numPr>
          <w:ilvl w:val="0"/>
          <w:numId w:val="1001"/>
        </w:numPr>
        <w:pStyle w:val="Compact"/>
      </w:pPr>
      <w:r>
        <w:t xml:space="preserve">This Invoice is the property of PetCare Doha Veterinary Clinic. A copy may be retained by the pet owner for personal records, insurance claims, or tax purposes within Qatar.</w:t>
      </w:r>
    </w:p>
    <w:bookmarkEnd w:id="24"/>
    <w:p>
      <w:pPr>
        <w:pStyle w:val="FirstParagraph"/>
      </w:pPr>
      <w:r>
        <w:rPr>
          <w:bCs/>
          <w:b/>
        </w:rPr>
        <w:t xml:space="preserve">PetCare Doha Veterinary Clinic WLL</w:t>
      </w:r>
      <w:r>
        <w:t xml:space="preserve"> </w:t>
      </w:r>
      <w:r>
        <w:t xml:space="preserve">| Street 27, Al Sadd, Doha, Qatar | CR: 123456 | VAT Reg: N/A (Exempt – Veterinary Services)</w:t>
      </w:r>
    </w:p>
    <w:p>
      <w:pPr>
        <w:pStyle w:val="BodyText"/>
      </w:pPr>
      <w:r>
        <w:t xml:space="preserve">This Invoice was generated electronically on 15 June 2025. For queries regarding this Invoice, contact our billing department at billing@petcare-doha.qa or +974 4455 6677 ext. 201.</w:t>
      </w:r>
    </w:p>
    <w:p>
      <w:pPr>
        <w:pStyle w:val="BodyText"/>
      </w:pPr>
      <w:r>
        <w:t xml:space="preserve">Thank you for trusting your Veterinarian at PetCare Doha. We are committed to the highest standards of animal healthcare in Qatar Doha and the wider State of Qatar.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Invoice - Qatar Doha</dc:title>
  <dc:creator/>
  <dc:language>en</dc:language>
  <cp:keywords/>
  <dcterms:created xsi:type="dcterms:W3CDTF">2026-10-10T02:49:17Z</dcterms:created>
  <dcterms:modified xsi:type="dcterms:W3CDTF">2026-10-10T02:49:17Z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