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miami-coastal-veterinary-care"/>
    <w:p>
      <w:pPr>
        <w:pStyle w:val="Heading1"/>
      </w:pPr>
      <w:r>
        <w:t xml:space="preserve">Miami Coastal Veterinary Care</w:t>
      </w:r>
    </w:p>
    <w:p>
      <w:pPr>
        <w:pStyle w:val="FirstParagraph"/>
      </w:pPr>
      <w:r>
        <w:t xml:space="preserve">14201 Biscayne Boulevard, Suite 310</w:t>
      </w:r>
    </w:p>
    <w:p>
      <w:pPr>
        <w:pStyle w:val="BodyText"/>
      </w:pPr>
      <w:r>
        <w:t xml:space="preserve">Miami, Florida 33161, United States</w:t>
      </w:r>
    </w:p>
    <w:p>
      <w:pPr>
        <w:pStyle w:val="BodyText"/>
      </w:pPr>
      <w:r>
        <w:t xml:space="preserve">Phone: (305) 555-0187 | Fax: (305) 555-0192</w:t>
      </w:r>
    </w:p>
    <w:p>
      <w:pPr>
        <w:pStyle w:val="BodyText"/>
      </w:pPr>
      <w:r>
        <w:t xml:space="preserve">Email: billing@miamicoastalvet.com</w:t>
      </w:r>
    </w:p>
    <w:p>
      <w:pPr>
        <w:pStyle w:val="BodyText"/>
      </w:pPr>
      <w:r>
        <w:t xml:space="preserve">Florida Veterinary License: FL-VET-2024-08847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MCV-2025-00472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Payment Due in 30 Days</w:t>
      </w:r>
    </w:p>
    <w:bookmarkEnd w:id="21"/>
    <w:bookmarkStart w:id="22" w:name="billed-to-client"/>
    <w:p>
      <w:pPr>
        <w:pStyle w:val="Heading3"/>
      </w:pPr>
      <w:r>
        <w:t xml:space="preserve">Billed To (Client)</w:t>
      </w:r>
    </w:p>
    <w:p>
      <w:pPr>
        <w:pStyle w:val="FirstParagraph"/>
      </w:pPr>
      <w:r>
        <w:rPr>
          <w:bCs/>
          <w:b/>
        </w:rPr>
        <w:t xml:space="preserve">Ms. Catherine Rodriguez</w:t>
      </w:r>
    </w:p>
    <w:p>
      <w:pPr>
        <w:pStyle w:val="BodyText"/>
      </w:pPr>
      <w:r>
        <w:t xml:space="preserve">2847 Coral Way, Apt 12B</w:t>
      </w:r>
    </w:p>
    <w:p>
      <w:pPr>
        <w:pStyle w:val="BodyText"/>
      </w:pPr>
      <w:r>
        <w:t xml:space="preserve">Miami, Florida 33145, United States</w:t>
      </w:r>
    </w:p>
    <w:p>
      <w:pPr>
        <w:pStyle w:val="BodyText"/>
      </w:pPr>
      <w:r>
        <w:t xml:space="preserve">Phone: (305) 555-4421</w:t>
      </w:r>
    </w:p>
    <w:p>
      <w:pPr>
        <w:pStyle w:val="BodyText"/>
      </w:pPr>
      <w:r>
        <w:t xml:space="preserve">Email: catherine.rodriguez@email.com</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Luna</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6 years</w:t>
      </w:r>
    </w:p>
    <w:p>
      <w:pPr>
        <w:pStyle w:val="BodyText"/>
      </w:pPr>
      <w:r>
        <w:rPr>
          <w:bCs/>
          <w:b/>
        </w:rPr>
        <w:t xml:space="preserve">Weight:</w:t>
      </w:r>
      <w:r>
        <w:t xml:space="preserve"> </w:t>
      </w:r>
      <w:r>
        <w:t xml:space="preserve">68 lbs</w:t>
      </w:r>
    </w:p>
    <w:p>
      <w:pPr>
        <w:pStyle w:val="BodyText"/>
      </w:pPr>
      <w:r>
        <w:rPr>
          <w:bCs/>
          <w:b/>
        </w:rPr>
        <w:t xml:space="preserve">Microchip #:</w:t>
      </w:r>
      <w:r>
        <w:t xml:space="preserve"> </w:t>
      </w:r>
      <w:r>
        <w:t xml:space="preserve">985-112-334-5678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Comprehensive Wellness Examination – Full physical assessment including auscultation, palpation, ophthalmic exam, dental check, and body condition scoring performed by Dr. James Whitfield, DVM, Board-Certified Veterinarian in Miami, Florida.</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Complete Blood Count (CBC) and Serum Biochemistry Panel – Diagnostic laboratory work including 24-panel chemistry, packed cell volume, total protein, and white blood cell differential to evaluate organ function and detect underlying conditions.</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3</w:t>
            </w:r>
          </w:p>
        </w:tc>
        <w:tc>
          <w:tcPr/>
          <w:p>
            <w:pPr>
              <w:pStyle w:val="Compact"/>
              <w:jc w:val="left"/>
            </w:pPr>
            <w:r>
              <w:t xml:space="preserve">Urinalysis with Sediment Examination – In-house diagnostic test to assess kidney function, detect urinary tract infections, and evaluate specific gravity and pH levels as part of the annual Veterinarian wellness protocol.</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4</w:t>
            </w:r>
          </w:p>
        </w:tc>
        <w:tc>
          <w:tcPr/>
          <w:p>
            <w:pPr>
              <w:pStyle w:val="Compact"/>
              <w:jc w:val="left"/>
            </w:pPr>
            <w:r>
              <w:t xml:space="preserve">Digital Radiography – Bilateral thoracic (chest) X-rays, 2 views, with digital interpretation by the attending Veterinarian to evaluate cardiac silhouette, pulmonary vasculature, and bony thorax integrity.</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5</w:t>
            </w:r>
          </w:p>
        </w:tc>
        <w:tc>
          <w:tcPr/>
          <w:p>
            <w:pPr>
              <w:pStyle w:val="Compact"/>
              <w:jc w:val="left"/>
            </w:pPr>
            <w:r>
              <w:t xml:space="preserve">Annual Core Vaccinations – Canine Distemper, Adenovirus, Parvovirus (DA2PP) combination vaccine and Rabies vaccine (3-year duration) administered per Florida Department of Agriculture and Consumer Services regulations for the United States Miami metropolitan area.</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Non-Core Vaccination – Bordetella (intranasal) and Leptospirosis (4-strain) vaccine to protect against respiratory and zoonotic diseases prevalent in the humid climate of Miami, Florida.</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7</w:t>
            </w:r>
          </w:p>
        </w:tc>
        <w:tc>
          <w:tcPr/>
          <w:p>
            <w:pPr>
              <w:pStyle w:val="Compact"/>
              <w:jc w:val="left"/>
            </w:pPr>
            <w:r>
              <w:t xml:space="preserve">Parasite Prevention – Yearly supply of Bravecto Plus (fluralaner + moxidectin) chewable tablets for flea, tick, and intestinal worm control, dispensed by the Veterinarian with written administration instructions.</w:t>
            </w:r>
          </w:p>
        </w:tc>
        <w:tc>
          <w:tcPr/>
          <w:p>
            <w:pPr>
              <w:pStyle w:val="Compact"/>
              <w:jc w:val="left"/>
            </w:pPr>
            <w:r>
              <w:t xml:space="preserve">June 10, 2025</w:t>
            </w:r>
          </w:p>
        </w:tc>
        <w:tc>
          <w:tcPr/>
          <w:p>
            <w:pPr>
              <w:pStyle w:val="Compact"/>
              <w:jc w:val="left"/>
            </w:pPr>
            <w:r>
              <w:t xml:space="preserve">12</w:t>
            </w:r>
          </w:p>
        </w:tc>
        <w:tc>
          <w:tcPr/>
          <w:p>
            <w:pPr>
              <w:pStyle w:val="Compact"/>
              <w:jc w:val="left"/>
            </w:pPr>
            <w:r>
              <w:t xml:space="preserve">$14.50</w:t>
            </w:r>
          </w:p>
        </w:tc>
        <w:tc>
          <w:tcPr/>
          <w:p>
            <w:pPr>
              <w:pStyle w:val="Compact"/>
              <w:jc w:val="left"/>
            </w:pPr>
            <w:r>
              <w:t xml:space="preserve">$174.00</w:t>
            </w:r>
          </w:p>
        </w:tc>
      </w:tr>
      <w:tr>
        <w:tc>
          <w:tcPr/>
          <w:p>
            <w:pPr>
              <w:pStyle w:val="Compact"/>
              <w:jc w:val="left"/>
            </w:pPr>
            <w:r>
              <w:t xml:space="preserve">8</w:t>
            </w:r>
          </w:p>
        </w:tc>
        <w:tc>
          <w:tcPr/>
          <w:p>
            <w:pPr>
              <w:pStyle w:val="Compact"/>
              <w:jc w:val="left"/>
            </w:pPr>
            <w:r>
              <w:t xml:space="preserve">Dental Prophylaxis – Full oral hygiene procedure under general anesthesia including ultrasonic scaling, hand polishing, periodontal probing, and full-mouth dental radiographs (14 views) performed by the lead Veterinarian and dental assistant.</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9</w:t>
            </w:r>
          </w:p>
        </w:tc>
        <w:tc>
          <w:tcPr/>
          <w:p>
            <w:pPr>
              <w:pStyle w:val="Compact"/>
              <w:jc w:val="left"/>
            </w:pPr>
            <w:r>
              <w:t xml:space="preserve">General Anesthesia and Monitoring – Pre-anesthetic blood work, IV catheter placement, continuous ECG, pulse oximetry, capnography, and temperature monitoring throughout the dental procedure, with post-anesthetic recovery care.</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10</w:t>
            </w:r>
          </w:p>
        </w:tc>
        <w:tc>
          <w:tcPr/>
          <w:p>
            <w:pPr>
              <w:pStyle w:val="Compact"/>
              <w:jc w:val="left"/>
            </w:pPr>
            <w:r>
              <w:t xml:space="preserve">Post-Operative Medications – Prescribed carprofen (Rimadyl) 75 mg tablets (14-day supply) for pain management and a single dose of meloxicam injection administered in-clinic by the Veterinarian.</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$82.00</w:t>
            </w:r>
          </w:p>
        </w:tc>
        <w:tc>
          <w:tcPr/>
          <w:p>
            <w:pPr>
              <w:pStyle w:val="Compact"/>
              <w:jc w:val="left"/>
            </w:pPr>
            <w:r>
              <w:t xml:space="preserve">$82.00</w:t>
            </w:r>
          </w:p>
        </w:tc>
      </w:tr>
      <w:tr>
        <w:tc>
          <w:tcPr/>
          <w:p>
            <w:pPr>
              <w:pStyle w:val="Compact"/>
              <w:jc w:val="left"/>
            </w:pPr>
            <w:r>
              <w:t xml:space="preserve">11</w:t>
            </w:r>
          </w:p>
        </w:tc>
        <w:tc>
          <w:tcPr/>
          <w:p>
            <w:pPr>
              <w:pStyle w:val="Compact"/>
              <w:jc w:val="left"/>
            </w:pPr>
            <w:r>
              <w:t xml:space="preserve">Follow-Up Telephone Consultation – 15-minute post-procedure check-in call by the attending Veterinarian to assess recovery progress, address owner concerns, and confirm healing trajectory.</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$2,144.00</w:t>
            </w:r>
          </w:p>
        </w:tc>
      </w:tr>
      <w:tr>
        <w:tc>
          <w:tcPr/>
          <w:p>
            <w:pPr>
              <w:pStyle w:val="Compact"/>
              <w:jc w:val="left"/>
            </w:pPr>
            <w:r>
              <w:t xml:space="preserve">Florida State Sales Tax (6.5%)</w:t>
            </w:r>
          </w:p>
        </w:tc>
        <w:tc>
          <w:tcPr/>
          <w:p>
            <w:pPr>
              <w:pStyle w:val="Compact"/>
              <w:jc w:val="left"/>
            </w:pPr>
            <w:r>
              <w:t xml:space="preserve">$139.36</w:t>
            </w:r>
          </w:p>
        </w:tc>
      </w:tr>
      <w:tr>
        <w:tc>
          <w:tcPr/>
          <w:p>
            <w:pPr>
              <w:pStyle w:val="Compact"/>
              <w:jc w:val="left"/>
            </w:pPr>
            <w:r>
              <w:t xml:space="preserve">Miami-Dade County Surcharge (0.5%)</w:t>
            </w:r>
          </w:p>
        </w:tc>
        <w:tc>
          <w:tcPr/>
          <w:p>
            <w:pPr>
              <w:pStyle w:val="Compact"/>
              <w:jc w:val="left"/>
            </w:pPr>
            <w:r>
              <w:t xml:space="preserve">$10.72</w:t>
            </w:r>
          </w:p>
        </w:tc>
      </w:tr>
      <w:tr>
        <w:tc>
          <w:tcPr/>
          <w:p>
            <w:pPr>
              <w:pStyle w:val="Compact"/>
              <w:jc w:val="left"/>
            </w:pPr>
            <w:r>
              <w:t xml:space="preserve">Insurance Adjustment (Petplan – Claim #PP-88291)</w:t>
            </w:r>
          </w:p>
        </w:tc>
        <w:tc>
          <w:tcPr/>
          <w:p>
            <w:pPr>
              <w:pStyle w:val="Compact"/>
              <w:jc w:val="left"/>
            </w:pPr>
            <w:r>
              <w:t xml:space="preserve">-$1,287.00</w:t>
            </w:r>
          </w:p>
        </w:tc>
      </w:tr>
      <w:tr>
        <w:tc>
          <w:tcPr/>
          <w:p>
            <w:pPr>
              <w:pStyle w:val="Compact"/>
              <w:jc w:val="left"/>
            </w:pPr>
            <w:r>
              <w:t xml:space="preserve">Amount Due</w:t>
            </w:r>
          </w:p>
        </w:tc>
        <w:tc>
          <w:tcPr/>
          <w:p>
            <w:pPr>
              <w:pStyle w:val="Compact"/>
              <w:jc w:val="left"/>
            </w:pPr>
            <w:r>
              <w:t xml:space="preserve">$987.08</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June 12, 2025. The total amount due is</w:t>
      </w:r>
      <w:r>
        <w:t xml:space="preserve"> </w:t>
      </w:r>
      <w:r>
        <w:rPr>
          <w:bCs/>
          <w:b/>
        </w:rPr>
        <w:t xml:space="preserve">$987.08 USD</w:t>
      </w:r>
      <w:r>
        <w:t xml:space="preserve">.</w:t>
      </w:r>
    </w:p>
    <w:p>
      <w:pPr>
        <w:pStyle w:val="BodyText"/>
      </w:pPr>
      <w:r>
        <w:rPr>
          <w:bCs/>
          <w:b/>
        </w:rPr>
        <w:t xml:space="preserve">Accepted Payment Methods:</w:t>
      </w:r>
      <w:r>
        <w:t xml:space="preserve"> </w:t>
      </w:r>
      <w:r>
        <w:t xml:space="preserve">Credit Card (Visa, Mastercard, American Express, Discover), Debit Card, Personal Check, ACH Bank Transfer, or Cash.</w:t>
      </w:r>
    </w:p>
    <w:p>
      <w:pPr>
        <w:pStyle w:val="BodyText"/>
      </w:pPr>
      <w:r>
        <w:rPr>
          <w:bCs/>
          <w:b/>
        </w:rPr>
        <w:t xml:space="preserve">Check Payable To:</w:t>
      </w:r>
      <w:r>
        <w:t xml:space="preserve"> </w:t>
      </w:r>
      <w:r>
        <w:t xml:space="preserve">Miami Coastal Veterinary Care, LLC</w:t>
      </w:r>
    </w:p>
    <w:p>
      <w:pPr>
        <w:pStyle w:val="BodyText"/>
      </w:pPr>
      <w:r>
        <w:rPr>
          <w:bCs/>
          <w:b/>
        </w:rPr>
        <w:t xml:space="preserve">Mailing Address for Payments:</w:t>
      </w:r>
      <w:r>
        <w:t xml:space="preserve"> </w:t>
      </w:r>
      <w:r>
        <w:t xml:space="preserve">14201 Biscayne Boulevard, Suite 310, Miami, FL 33161, United States</w:t>
      </w:r>
    </w:p>
    <w:p>
      <w:pPr>
        <w:pStyle w:val="BodyText"/>
      </w:pPr>
      <w:r>
        <w:rPr>
          <w:bCs/>
          <w:b/>
        </w:rPr>
        <w:t xml:space="preserve">Bank Transfer:</w:t>
      </w:r>
      <w:r>
        <w:t xml:space="preserve"> </w:t>
      </w:r>
      <w:r>
        <w:t xml:space="preserve">First National Bank of Miami | Routing: 021000021 | Account: 4478-2291-003 | Reference: MCV-2025-00472</w:t>
      </w:r>
    </w:p>
    <w:p>
      <w:pPr>
        <w:pStyle w:val="BodyText"/>
      </w:pPr>
      <w:r>
        <w:t xml:space="preserve">A late payment fee of 1.5% per month will be applied to any balance remaining after the due date of July 12, 2025, in accordance with Florida commercial collection statutes.</w:t>
      </w:r>
    </w:p>
    <w:bookmarkEnd w:id="24"/>
    <w:bookmarkStart w:id="25" w:name="important-notes-from-your-veterinarian"/>
    <w:p>
      <w:pPr>
        <w:pStyle w:val="Heading3"/>
      </w:pPr>
      <w:r>
        <w:t xml:space="preserve">Important Notes from Your Veterinarian</w:t>
      </w:r>
    </w:p>
    <w:p>
      <w:pPr>
        <w:pStyle w:val="FirstParagraph"/>
      </w:pPr>
      <w:r>
        <w:t xml:space="preserve">Dear Ms. Rodriguez, thank you for entrusting Luna's care to our Veterinarian team here in Miami, Florida. During today's comprehensive examination, we noted mild early-stage dental tartar buildup in the lower premolar region, which was fully addressed during the prophylactic dental cleaning. We recommend scheduling a follow-up dental evaluation in twelve (12) months to monitor periodontal health.</w:t>
      </w:r>
    </w:p>
    <w:p>
      <w:pPr>
        <w:pStyle w:val="BodyText"/>
      </w:pPr>
      <w:r>
        <w:t xml:space="preserve">Your Veterinarian has also noted that Luna's weight is slightly above the ideal range for her breed and age. We have provided a customized nutrition plan and recommend a 30-day recheck to assess progress. Please continue administering the Bravecto Plus chewable monthly without interruption, as the Miami, United States climate presents year-round risk for tick-borne diseases including Ehrlichia and Anaplasma.</w:t>
      </w:r>
    </w:p>
    <w:p>
      <w:pPr>
        <w:pStyle w:val="BodyText"/>
      </w:pPr>
      <w:r>
        <w:t xml:space="preserve">All diagnostic results, radiographic images, and treatment records have been uploaded to your online patient portal at portal.miamicoastalvet.com. If you have any questions regarding this Invoice or Luna's ongoing care plan, please do not hesitate to contact our billing department at (305) 555-0187, Monday through Friday, 8:00 AM to 6:00 PM EST.</w:t>
      </w:r>
    </w:p>
    <w:bookmarkEnd w:id="25"/>
    <w:p>
      <w:pPr>
        <w:pStyle w:val="BodyText"/>
      </w:pPr>
      <w:r>
        <w:rPr>
          <w:bCs/>
          <w:b/>
        </w:rPr>
        <w:t xml:space="preserve">Miami Coastal Veterinary Care, LLC</w:t>
      </w:r>
      <w:r>
        <w:t xml:space="preserve"> </w:t>
      </w:r>
      <w:r>
        <w:t xml:space="preserve">| 14201 Biscayne Boulevard, Suite 310, Miami, Florida 33161, United States</w:t>
      </w:r>
    </w:p>
    <w:p>
      <w:pPr>
        <w:pStyle w:val="BodyText"/>
      </w:pPr>
      <w:r>
        <w:t xml:space="preserve">Florida Veterinary Medical Association Member | AAHA Accredited | AVMA Certified Practice</w:t>
      </w:r>
    </w:p>
    <w:p>
      <w:pPr>
        <w:pStyle w:val="BodyText"/>
      </w:pPr>
      <w:r>
        <w:t xml:space="preserve">This Invoice was generated electronically and is valid without a physical signature. For questions regarding this document, contact our billing office at billing@miamicoastalvet.com.</w:t>
      </w:r>
    </w:p>
    <w:p>
      <w:pPr>
        <w:pStyle w:val="BodyText"/>
      </w:pPr>
      <w:r>
        <w:t xml:space="preserve">© 2025 Miami Coastal Veterinary Care, LLC. All rights reserved. This Invoice is the property of Miami Coastal Veterinary Care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Miami, United States</dc:title>
  <dc:creator/>
  <dc:language>en</dc:language>
  <cp:keywords/>
  <dcterms:created xsi:type="dcterms:W3CDTF">2026-10-10T01:23:40Z</dcterms:created>
  <dcterms:modified xsi:type="dcterms:W3CDTF">2026-10-10T01:23:40Z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