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Welder</w:t>
      </w:r>
      <w:r>
        <w:t xml:space="preserve"> </w:t>
      </w:r>
      <w:r>
        <w:t xml:space="preserve">Services</w:t>
      </w:r>
      <w:r>
        <w:t xml:space="preserve"> </w:t>
      </w:r>
      <w:r>
        <w:t xml:space="preserve">-</w:t>
      </w:r>
      <w:r>
        <w:t xml:space="preserve"> </w:t>
      </w:r>
      <w:r>
        <w:t xml:space="preserve">Indonesia</w:t>
      </w:r>
      <w:r>
        <w:t xml:space="preserve"> </w:t>
      </w:r>
      <w:r>
        <w:t xml:space="preserve">Jakarta</w:t>
      </w:r>
    </w:p>
    <w:bookmarkStart w:id="20" w:name="pt.-nusantara-welding-solutions"/>
    <w:p>
      <w:pPr>
        <w:pStyle w:val="Heading1"/>
      </w:pPr>
      <w:r>
        <w:t xml:space="preserve">PT. Nusantara Welding Solutions</w:t>
      </w:r>
    </w:p>
    <w:p>
      <w:pPr>
        <w:pStyle w:val="FirstParagraph"/>
      </w:pPr>
      <w:r>
        <w:t xml:space="preserve">Jl. Raya Industri No. 45, Cakung Industrial Estate</w:t>
      </w:r>
    </w:p>
    <w:p>
      <w:pPr>
        <w:pStyle w:val="BodyText"/>
      </w:pPr>
      <w:r>
        <w:t xml:space="preserve">Jakarta Timur, Indonesia Jakarta 13910</w:t>
      </w:r>
    </w:p>
    <w:p>
      <w:pPr>
        <w:pStyle w:val="BodyText"/>
      </w:pPr>
      <w:r>
        <w:t xml:space="preserve">Tel: +62 21 4601 8892 | Email: billing@nusantarawelding.co.id</w:t>
      </w:r>
    </w:p>
    <w:p>
      <w:pPr>
        <w:pStyle w:val="BodyText"/>
      </w:pPr>
      <w:r>
        <w:t xml:space="preserve">NPWP: 01.234.567.8-451.000</w:t>
      </w:r>
    </w:p>
    <w:bookmarkEnd w:id="20"/>
    <w:bookmarkStart w:id="21" w:name="invoice"/>
    <w:p>
      <w:pPr>
        <w:pStyle w:val="Heading2"/>
      </w:pPr>
      <w:r>
        <w:t xml:space="preserve">INVOICE</w:t>
      </w:r>
    </w:p>
    <w:p>
      <w:pPr>
        <w:pStyle w:val="FirstParagraph"/>
      </w:pPr>
      <w:r>
        <w:t xml:space="preserve">Welder Services</w:t>
      </w:r>
    </w:p>
    <w:p>
      <w:pPr>
        <w:pStyle w:val="BodyText"/>
      </w:pPr>
      <w:r>
        <w:t xml:space="preserve">Invoice No: INV-JKT-2025-00847</w:t>
      </w:r>
    </w:p>
    <w:p>
      <w:pPr>
        <w:pStyle w:val="BodyText"/>
      </w:pPr>
      <w:r>
        <w:t xml:space="preserve">Date: 15 June 2025</w:t>
      </w:r>
    </w:p>
    <w:p>
      <w:pPr>
        <w:pStyle w:val="BodyText"/>
      </w:pPr>
      <w:r>
        <w:t xml:space="preserve">Due Date: 30 June 2025</w:t>
      </w:r>
    </w:p>
    <w:bookmarkEnd w:id="21"/>
    <w:bookmarkStart w:id="22" w:name="billed-to-client"/>
    <w:p>
      <w:pPr>
        <w:pStyle w:val="Heading3"/>
      </w:pPr>
      <w:r>
        <w:t xml:space="preserve">Billed To (Client)</w:t>
      </w:r>
    </w:p>
    <w:p>
      <w:pPr>
        <w:pStyle w:val="FirstParagraph"/>
      </w:pPr>
      <w:r>
        <w:rPr>
          <w:bCs/>
          <w:b/>
        </w:rPr>
        <w:t xml:space="preserve">PT. Artha Konstruksi Indonesia</w:t>
      </w:r>
    </w:p>
    <w:p>
      <w:pPr>
        <w:pStyle w:val="BodyText"/>
      </w:pPr>
      <w:r>
        <w:t xml:space="preserve">Jl. Jend. Sudirman Kav. 88, SCBD District</w:t>
      </w:r>
    </w:p>
    <w:p>
      <w:pPr>
        <w:pStyle w:val="BodyText"/>
      </w:pPr>
      <w:r>
        <w:t xml:space="preserve">Jakarta Selatan, Indonesia Jakarta 12190</w:t>
      </w:r>
    </w:p>
    <w:p>
      <w:pPr>
        <w:pStyle w:val="BodyText"/>
      </w:pPr>
      <w:r>
        <w:t xml:space="preserve">Attn: Mr. Budi Santoso, Procurement Manager</w:t>
      </w:r>
    </w:p>
    <w:p>
      <w:pPr>
        <w:pStyle w:val="BodyText"/>
      </w:pPr>
      <w:r>
        <w:t xml:space="preserve">Client Ref: AKI-PO-2025-0312</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Steel Structure Fabrication – Phase 2</w:t>
      </w:r>
    </w:p>
    <w:p>
      <w:pPr>
        <w:pStyle w:val="BodyText"/>
      </w:pPr>
      <w:r>
        <w:rPr>
          <w:bCs/>
          <w:b/>
        </w:rPr>
        <w:t xml:space="preserve">Location:</w:t>
      </w:r>
      <w:r>
        <w:t xml:space="preserve"> </w:t>
      </w:r>
      <w:r>
        <w:t xml:space="preserve">Cakung Industrial Zone, Indonesia Jakarta</w:t>
      </w:r>
    </w:p>
    <w:p>
      <w:pPr>
        <w:pStyle w:val="BodyText"/>
      </w:pPr>
      <w:r>
        <w:rPr>
          <w:bCs/>
          <w:b/>
        </w:rPr>
        <w:t xml:space="preserve">Welder Team:</w:t>
      </w:r>
      <w:r>
        <w:t xml:space="preserve"> </w:t>
      </w:r>
      <w:r>
        <w:t xml:space="preserve">4 Certified Welders (AWS D1.1)</w:t>
      </w:r>
    </w:p>
    <w:p>
      <w:pPr>
        <w:pStyle w:val="BodyText"/>
      </w:pPr>
      <w:r>
        <w:rPr>
          <w:bCs/>
          <w:b/>
        </w:rPr>
        <w:t xml:space="preserve">Period:</w:t>
      </w:r>
      <w:r>
        <w:t xml:space="preserve"> </w:t>
      </w:r>
      <w:r>
        <w:t xml:space="preserve">1 June 2025 – 14 June 2025</w:t>
      </w:r>
    </w:p>
    <w:p>
      <w:pPr>
        <w:pStyle w:val="BodyText"/>
      </w:pPr>
      <w:r>
        <w:rPr>
          <w:bCs/>
          <w:b/>
        </w:rPr>
        <w:t xml:space="preserve">Contract No:</w:t>
      </w:r>
      <w:r>
        <w:t xml:space="preserve"> </w:t>
      </w:r>
      <w:r>
        <w:t xml:space="preserve">CTR-WLD-JKT-2025-019</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Welder Service</w:t>
            </w:r>
          </w:p>
        </w:tc>
        <w:tc>
          <w:tcPr/>
          <w:p>
            <w:pPr>
              <w:pStyle w:val="Compact"/>
              <w:jc w:val="left"/>
            </w:pPr>
            <w:r>
              <w:t xml:space="preserve">Welder Grade</w:t>
            </w:r>
          </w:p>
        </w:tc>
        <w:tc>
          <w:tcPr/>
          <w:p>
            <w:pPr>
              <w:pStyle w:val="Compact"/>
              <w:jc w:val="left"/>
            </w:pPr>
            <w:r>
              <w:t xml:space="preserve">Qty / Hours</w:t>
            </w:r>
          </w:p>
        </w:tc>
        <w:tc>
          <w:tcPr/>
          <w:p>
            <w:pPr>
              <w:pStyle w:val="Compact"/>
              <w:jc w:val="left"/>
            </w:pPr>
            <w:r>
              <w:t xml:space="preserve">Rate (IDR)</w:t>
            </w:r>
          </w:p>
        </w:tc>
        <w:tc>
          <w:tcPr/>
          <w:p>
            <w:pPr>
              <w:pStyle w:val="Compact"/>
              <w:jc w:val="left"/>
            </w:pPr>
            <w:r>
              <w:t xml:space="preserve">Amount (IDR)</w:t>
            </w:r>
          </w:p>
        </w:tc>
      </w:tr>
      <w:tr>
        <w:tc>
          <w:tcPr/>
          <w:p>
            <w:pPr>
              <w:pStyle w:val="Compact"/>
              <w:jc w:val="left"/>
            </w:pPr>
            <w:r>
              <w:t xml:space="preserve">1</w:t>
            </w:r>
          </w:p>
        </w:tc>
        <w:tc>
          <w:tcPr/>
          <w:p>
            <w:pPr>
              <w:pStyle w:val="Compact"/>
              <w:jc w:val="left"/>
            </w:pPr>
            <w:r>
              <w:t xml:space="preserve">Structural Steel Welding – GMAW (MIG) Process for I-Beam and H-Beam Assembly, Indonesia Jakarta Site</w:t>
            </w:r>
          </w:p>
        </w:tc>
        <w:tc>
          <w:tcPr/>
          <w:p>
            <w:pPr>
              <w:pStyle w:val="Compact"/>
              <w:jc w:val="left"/>
            </w:pPr>
            <w:r>
              <w:t xml:space="preserve">Welder Level 3 (Senior)</w:t>
            </w:r>
          </w:p>
        </w:tc>
        <w:tc>
          <w:tcPr/>
          <w:p>
            <w:pPr>
              <w:pStyle w:val="Compact"/>
              <w:jc w:val="left"/>
            </w:pPr>
            <w:r>
              <w:t xml:space="preserve">120 hrs</w:t>
            </w:r>
          </w:p>
        </w:tc>
        <w:tc>
          <w:tcPr/>
          <w:p>
            <w:pPr>
              <w:pStyle w:val="Compact"/>
              <w:jc w:val="left"/>
            </w:pPr>
            <w:r>
              <w:t xml:space="preserve">285,000</w:t>
            </w:r>
          </w:p>
        </w:tc>
        <w:tc>
          <w:tcPr/>
          <w:p>
            <w:pPr>
              <w:pStyle w:val="Compact"/>
              <w:jc w:val="left"/>
            </w:pPr>
            <w:r>
              <w:t xml:space="preserve">34,200,000</w:t>
            </w:r>
          </w:p>
        </w:tc>
      </w:tr>
      <w:tr>
        <w:tc>
          <w:tcPr/>
          <w:p>
            <w:pPr>
              <w:pStyle w:val="Compact"/>
              <w:jc w:val="left"/>
            </w:pPr>
            <w:r>
              <w:t xml:space="preserve">2</w:t>
            </w:r>
          </w:p>
        </w:tc>
        <w:tc>
          <w:tcPr/>
          <w:p>
            <w:pPr>
              <w:pStyle w:val="Compact"/>
              <w:jc w:val="left"/>
            </w:pPr>
            <w:r>
              <w:t xml:space="preserve">Pipeline Welding – SMAW (Stick) Process for Carbon Steel Piping, 6-inch Diameter, Indonesia Jakarta</w:t>
            </w:r>
          </w:p>
        </w:tc>
        <w:tc>
          <w:tcPr/>
          <w:p>
            <w:pPr>
              <w:pStyle w:val="Compact"/>
              <w:jc w:val="left"/>
            </w:pPr>
            <w:r>
              <w:t xml:space="preserve">Welder Level 3 (Senior)</w:t>
            </w:r>
          </w:p>
        </w:tc>
        <w:tc>
          <w:tcPr/>
          <w:p>
            <w:pPr>
              <w:pStyle w:val="Compact"/>
              <w:jc w:val="left"/>
            </w:pPr>
            <w:r>
              <w:t xml:space="preserve">96 hrs</w:t>
            </w:r>
          </w:p>
        </w:tc>
        <w:tc>
          <w:tcPr/>
          <w:p>
            <w:pPr>
              <w:pStyle w:val="Compact"/>
              <w:jc w:val="left"/>
            </w:pPr>
            <w:r>
              <w:t xml:space="preserve">310,000</w:t>
            </w:r>
          </w:p>
        </w:tc>
        <w:tc>
          <w:tcPr/>
          <w:p>
            <w:pPr>
              <w:pStyle w:val="Compact"/>
              <w:jc w:val="left"/>
            </w:pPr>
            <w:r>
              <w:t xml:space="preserve">29,760,000</w:t>
            </w:r>
          </w:p>
        </w:tc>
      </w:tr>
      <w:tr>
        <w:tc>
          <w:tcPr/>
          <w:p>
            <w:pPr>
              <w:pStyle w:val="Compact"/>
              <w:jc w:val="left"/>
            </w:pPr>
            <w:r>
              <w:t xml:space="preserve">3</w:t>
            </w:r>
          </w:p>
        </w:tc>
        <w:tc>
          <w:tcPr/>
          <w:p>
            <w:pPr>
              <w:pStyle w:val="Compact"/>
              <w:jc w:val="left"/>
            </w:pPr>
            <w:r>
              <w:t xml:space="preserve">TIG Welding (GTAW) – Stainless Steel 304L Fixtures and Handrails, Indonesia Jakarta Facility</w:t>
            </w:r>
          </w:p>
        </w:tc>
        <w:tc>
          <w:tcPr/>
          <w:p>
            <w:pPr>
              <w:pStyle w:val="Compact"/>
              <w:jc w:val="left"/>
            </w:pPr>
            <w:r>
              <w:t xml:space="preserve">Welder Level 2 (Intermediate)</w:t>
            </w:r>
          </w:p>
        </w:tc>
        <w:tc>
          <w:tcPr/>
          <w:p>
            <w:pPr>
              <w:pStyle w:val="Compact"/>
              <w:jc w:val="left"/>
            </w:pPr>
            <w:r>
              <w:t xml:space="preserve">80 hrs</w:t>
            </w:r>
          </w:p>
        </w:tc>
        <w:tc>
          <w:tcPr/>
          <w:p>
            <w:pPr>
              <w:pStyle w:val="Compact"/>
              <w:jc w:val="left"/>
            </w:pPr>
            <w:r>
              <w:t xml:space="preserve">245,000</w:t>
            </w:r>
          </w:p>
        </w:tc>
        <w:tc>
          <w:tcPr/>
          <w:p>
            <w:pPr>
              <w:pStyle w:val="Compact"/>
              <w:jc w:val="left"/>
            </w:pPr>
            <w:r>
              <w:t xml:space="preserve">19,600,000</w:t>
            </w:r>
          </w:p>
        </w:tc>
      </w:tr>
      <w:tr>
        <w:tc>
          <w:tcPr/>
          <w:p>
            <w:pPr>
              <w:pStyle w:val="Compact"/>
              <w:jc w:val="left"/>
            </w:pPr>
            <w:r>
              <w:t xml:space="preserve">4</w:t>
            </w:r>
          </w:p>
        </w:tc>
        <w:tc>
          <w:tcPr/>
          <w:p>
            <w:pPr>
              <w:pStyle w:val="Compact"/>
              <w:jc w:val="left"/>
            </w:pPr>
            <w:r>
              <w:t xml:space="preserve">Welding Inspection &amp; NDT (Non-Destructive Testing) – Radiographic and Ultrasonic Testing per AWS D1.1 Standard</w:t>
            </w:r>
          </w:p>
        </w:tc>
        <w:tc>
          <w:tcPr/>
          <w:p>
            <w:pPr>
              <w:pStyle w:val="Compact"/>
              <w:jc w:val="left"/>
            </w:pPr>
            <w:r>
              <w:t xml:space="preserve">Welder Inspector (Level II)</w:t>
            </w:r>
          </w:p>
        </w:tc>
        <w:tc>
          <w:tcPr/>
          <w:p>
            <w:pPr>
              <w:pStyle w:val="Compact"/>
              <w:jc w:val="left"/>
            </w:pPr>
            <w:r>
              <w:t xml:space="preserve">40 hrs</w:t>
            </w:r>
          </w:p>
        </w:tc>
        <w:tc>
          <w:tcPr/>
          <w:p>
            <w:pPr>
              <w:pStyle w:val="Compact"/>
              <w:jc w:val="left"/>
            </w:pPr>
            <w:r>
              <w:t xml:space="preserve">350,000</w:t>
            </w:r>
          </w:p>
        </w:tc>
        <w:tc>
          <w:tcPr/>
          <w:p>
            <w:pPr>
              <w:pStyle w:val="Compact"/>
              <w:jc w:val="left"/>
            </w:pPr>
            <w:r>
              <w:t xml:space="preserve">14,000,000</w:t>
            </w:r>
          </w:p>
        </w:tc>
      </w:tr>
      <w:tr>
        <w:tc>
          <w:tcPr/>
          <w:p>
            <w:pPr>
              <w:pStyle w:val="Compact"/>
              <w:jc w:val="left"/>
            </w:pPr>
            <w:r>
              <w:t xml:space="preserve">5</w:t>
            </w:r>
          </w:p>
        </w:tc>
        <w:tc>
          <w:tcPr/>
          <w:p>
            <w:pPr>
              <w:pStyle w:val="Compact"/>
              <w:jc w:val="left"/>
            </w:pPr>
            <w:r>
              <w:t xml:space="preserve">Welding Consumables &amp; Gas Supply – ER70S-6 Wire, E7018 Electrodes, Argon &amp; CO2 Shielding Gas for Indonesia Jakarta Operations</w:t>
            </w:r>
          </w:p>
        </w:tc>
        <w:tc>
          <w:tcPr/>
          <w:p>
            <w:pPr>
              <w:pStyle w:val="Compact"/>
              <w:jc w:val="left"/>
            </w:pPr>
            <w:r>
              <w:t xml:space="preserve">Material Supply</w:t>
            </w:r>
          </w:p>
        </w:tc>
        <w:tc>
          <w:tcPr/>
          <w:p>
            <w:pPr>
              <w:pStyle w:val="Compact"/>
              <w:jc w:val="left"/>
            </w:pPr>
            <w:r>
              <w:t xml:space="preserve">1 lot</w:t>
            </w:r>
          </w:p>
        </w:tc>
        <w:tc>
          <w:tcPr/>
          <w:p>
            <w:pPr>
              <w:pStyle w:val="Compact"/>
              <w:jc w:val="left"/>
            </w:pPr>
            <w:r>
              <w:t xml:space="preserve">8,750,000</w:t>
            </w:r>
          </w:p>
        </w:tc>
        <w:tc>
          <w:tcPr/>
          <w:p>
            <w:pPr>
              <w:pStyle w:val="Compact"/>
              <w:jc w:val="left"/>
            </w:pPr>
            <w:r>
              <w:t xml:space="preserve">8,750,000</w:t>
            </w:r>
          </w:p>
        </w:tc>
      </w:tr>
      <w:tr>
        <w:tc>
          <w:tcPr/>
          <w:p>
            <w:pPr>
              <w:pStyle w:val="Compact"/>
              <w:jc w:val="left"/>
            </w:pPr>
            <w:r>
              <w:t xml:space="preserve">6</w:t>
            </w:r>
          </w:p>
        </w:tc>
        <w:tc>
          <w:tcPr/>
          <w:p>
            <w:pPr>
              <w:pStyle w:val="Compact"/>
              <w:jc w:val="left"/>
            </w:pPr>
            <w:r>
              <w:t xml:space="preserve">Welder PPE &amp; Safety Equipment – Welding Helmets, Leather Aprons, Respirators, and Fire-Resistant Clothing for Indonesia Jakarta Site Compliance</w:t>
            </w:r>
          </w:p>
        </w:tc>
        <w:tc>
          <w:tcPr/>
          <w:p>
            <w:pPr>
              <w:pStyle w:val="Compact"/>
              <w:jc w:val="left"/>
            </w:pPr>
            <w:r>
              <w:t xml:space="preserve">Safety Supply</w:t>
            </w:r>
          </w:p>
        </w:tc>
        <w:tc>
          <w:tcPr/>
          <w:p>
            <w:pPr>
              <w:pStyle w:val="Compact"/>
              <w:jc w:val="left"/>
            </w:pPr>
            <w:r>
              <w:t xml:space="preserve">4 sets</w:t>
            </w:r>
          </w:p>
        </w:tc>
        <w:tc>
          <w:tcPr/>
          <w:p>
            <w:pPr>
              <w:pStyle w:val="Compact"/>
              <w:jc w:val="left"/>
            </w:pPr>
            <w:r>
              <w:t xml:space="preserve">1,250,000</w:t>
            </w:r>
          </w:p>
        </w:tc>
        <w:tc>
          <w:tcPr/>
          <w:p>
            <w:pPr>
              <w:pStyle w:val="Compact"/>
              <w:jc w:val="left"/>
            </w:pPr>
            <w:r>
              <w:t xml:space="preserve">5,000,000</w:t>
            </w:r>
          </w:p>
        </w:tc>
      </w:tr>
      <w:tr>
        <w:tc>
          <w:tcPr/>
          <w:p>
            <w:pPr>
              <w:pStyle w:val="Compact"/>
              <w:jc w:val="left"/>
            </w:pPr>
            <w:r>
              <w:t xml:space="preserve">7</w:t>
            </w:r>
          </w:p>
        </w:tc>
        <w:tc>
          <w:tcPr/>
          <w:p>
            <w:pPr>
              <w:pStyle w:val="Compact"/>
              <w:jc w:val="left"/>
            </w:pPr>
            <w:r>
              <w:t xml:space="preserve">Welder Travel &amp; Accommodation – Mobilization of 4 Welder Team from Surabaya to Indonesia Jakarta (Round Trip)</w:t>
            </w:r>
          </w:p>
        </w:tc>
        <w:tc>
          <w:tcPr/>
          <w:p>
            <w:pPr>
              <w:pStyle w:val="Compact"/>
              <w:jc w:val="left"/>
            </w:pPr>
            <w:r>
              <w:t xml:space="preserve">Logistics</w:t>
            </w:r>
          </w:p>
        </w:tc>
        <w:tc>
          <w:tcPr/>
          <w:p>
            <w:pPr>
              <w:pStyle w:val="Compact"/>
              <w:jc w:val="left"/>
            </w:pPr>
            <w:r>
              <w:t xml:space="preserve">4 pax</w:t>
            </w:r>
          </w:p>
        </w:tc>
        <w:tc>
          <w:tcPr/>
          <w:p>
            <w:pPr>
              <w:pStyle w:val="Compact"/>
              <w:jc w:val="left"/>
            </w:pPr>
            <w:r>
              <w:t xml:space="preserve">2,800,000</w:t>
            </w:r>
          </w:p>
        </w:tc>
        <w:tc>
          <w:tcPr/>
          <w:p>
            <w:pPr>
              <w:pStyle w:val="Compact"/>
              <w:jc w:val="left"/>
            </w:pPr>
            <w:r>
              <w:t xml:space="preserve">11,200,000</w:t>
            </w:r>
          </w:p>
        </w:tc>
      </w:tr>
      <w:tr>
        <w:tc>
          <w:tcPr/>
          <w:p>
            <w:pPr>
              <w:pStyle w:val="Compact"/>
              <w:jc w:val="left"/>
            </w:pPr>
            <w:r>
              <w:t xml:space="preserve">8</w:t>
            </w:r>
          </w:p>
        </w:tc>
        <w:tc>
          <w:tcPr/>
          <w:p>
            <w:pPr>
              <w:pStyle w:val="Compact"/>
              <w:jc w:val="left"/>
            </w:pPr>
            <w:r>
              <w:t xml:space="preserve">Welding Procedure Qualification (WPQR) &amp; Welder Performance Qualification (WPS) Documentation per SNI 7389:2014</w:t>
            </w:r>
          </w:p>
        </w:tc>
        <w:tc>
          <w:tcPr/>
          <w:p>
            <w:pPr>
              <w:pStyle w:val="Compact"/>
              <w:jc w:val="left"/>
            </w:pPr>
            <w:r>
              <w:t xml:space="preserve">Engineering</w:t>
            </w:r>
          </w:p>
        </w:tc>
        <w:tc>
          <w:tcPr/>
          <w:p>
            <w:pPr>
              <w:pStyle w:val="Compact"/>
              <w:jc w:val="left"/>
            </w:pPr>
            <w:r>
              <w:t xml:space="preserve">1 package</w:t>
            </w:r>
          </w:p>
        </w:tc>
        <w:tc>
          <w:tcPr/>
          <w:p>
            <w:pPr>
              <w:pStyle w:val="Compact"/>
              <w:jc w:val="left"/>
            </w:pPr>
            <w:r>
              <w:t xml:space="preserve">6,500,000</w:t>
            </w:r>
          </w:p>
        </w:tc>
        <w:tc>
          <w:tcPr/>
          <w:p>
            <w:pPr>
              <w:pStyle w:val="Compact"/>
              <w:jc w:val="left"/>
            </w:pPr>
            <w:r>
              <w:t xml:space="preserve">6,500,000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128,010,000</w:t>
            </w:r>
          </w:p>
        </w:tc>
      </w:tr>
      <w:tr>
        <w:tc>
          <w:tcPr/>
          <w:p>
            <w:pPr>
              <w:pStyle w:val="Compact"/>
              <w:jc w:val="left"/>
            </w:pPr>
            <w:r>
              <w:t xml:space="preserve">PPN (VAT) 11% – Indonesia Jakarta Tax</w:t>
            </w:r>
          </w:p>
        </w:tc>
        <w:tc>
          <w:tcPr/>
          <w:p>
            <w:pPr>
              <w:pStyle w:val="Compact"/>
              <w:jc w:val="left"/>
            </w:pPr>
            <w:r>
              <w:t xml:space="preserve">14,081,100</w:t>
            </w:r>
          </w:p>
        </w:tc>
      </w:tr>
      <w:tr>
        <w:tc>
          <w:tcPr/>
          <w:p>
            <w:pPr>
              <w:pStyle w:val="Compact"/>
              <w:jc w:val="left"/>
            </w:pPr>
            <w:r>
              <w:t xml:space="preserve">Withholding Tax (PPh 23) 2%</w:t>
            </w:r>
          </w:p>
        </w:tc>
        <w:tc>
          <w:tcPr/>
          <w:p>
            <w:pPr>
              <w:pStyle w:val="Compact"/>
              <w:jc w:val="left"/>
            </w:pPr>
            <w:r>
              <w:t xml:space="preserve">(2,560,200)</w:t>
            </w:r>
          </w:p>
        </w:tc>
      </w:tr>
      <w:tr>
        <w:tc>
          <w:tcPr/>
          <w:p>
            <w:pPr>
              <w:pStyle w:val="Compact"/>
              <w:jc w:val="left"/>
            </w:pPr>
            <w:r>
              <w:t xml:space="preserve">GRAND TOTAL (IDR)</w:t>
            </w:r>
          </w:p>
        </w:tc>
        <w:tc>
          <w:tcPr/>
          <w:p>
            <w:pPr>
              <w:pStyle w:val="Compact"/>
              <w:jc w:val="left"/>
            </w:pPr>
            <w:r>
              <w:t xml:space="preserve">139,530,900</w:t>
            </w:r>
          </w:p>
        </w:tc>
      </w:tr>
    </w:tbl>
    <w:bookmarkStart w:id="24" w:name="invoice-notes-welder-service-terms"/>
    <w:p>
      <w:pPr>
        <w:pStyle w:val="Heading3"/>
      </w:pPr>
      <w:r>
        <w:t xml:space="preserve">Invoice Notes &amp; Welder Service Terms</w:t>
      </w:r>
    </w:p>
    <w:p>
      <w:pPr>
        <w:pStyle w:val="FirstParagraph"/>
      </w:pPr>
      <w:r>
        <w:t xml:space="preserve">This Invoice is issued by PT. Nusantara Welding Solutions for professional Welder services rendered at the Indonesia Jakarta project site. All welding operations were performed in strict accordance with AWS D1.1 Structural Welding Code and SNI 7389:2014 Indonesian National Standards for Welding Procedures.</w:t>
      </w:r>
    </w:p>
    <w:p>
      <w:pPr>
        <w:numPr>
          <w:ilvl w:val="0"/>
          <w:numId w:val="1001"/>
        </w:numPr>
        <w:pStyle w:val="Compact"/>
      </w:pPr>
      <w:r>
        <w:t xml:space="preserve">All Welder personnel assigned to this Indonesia Jakarta project hold valid AWS and SNI certifications. Welder qualification records are available upon request and are attached as Appendix A to this Invoice.</w:t>
      </w:r>
    </w:p>
    <w:p>
      <w:pPr>
        <w:numPr>
          <w:ilvl w:val="0"/>
          <w:numId w:val="1001"/>
        </w:numPr>
        <w:pStyle w:val="Compact"/>
      </w:pPr>
      <w:r>
        <w:t xml:space="preserve">The Welder team operated under full compliance with K3 (Keselamatan dan Kesehatan Kerja) regulations mandated by the Indonesian Ministry of Manpower for all industrial operations in Indonesia Jakarta.</w:t>
      </w:r>
    </w:p>
    <w:p>
      <w:pPr>
        <w:numPr>
          <w:ilvl w:val="0"/>
          <w:numId w:val="1001"/>
        </w:numPr>
        <w:pStyle w:val="Compact"/>
      </w:pPr>
      <w:r>
        <w:t xml:space="preserve">Welding consumables listed in this Invoice were sourced from approved Indonesian suppliers and meet SNI material specifications. Certificates of Material Analysis (CMA) are available for the client's quality records.</w:t>
      </w:r>
    </w:p>
    <w:p>
      <w:pPr>
        <w:numPr>
          <w:ilvl w:val="0"/>
          <w:numId w:val="1001"/>
        </w:numPr>
        <w:pStyle w:val="Compact"/>
      </w:pPr>
      <w:r>
        <w:t xml:space="preserve">Payment for this Invoice is due within 14 (fourteen) calendar days from the Invoice date. Late payments will incur a penalty of 1% per month as stipulated in the Indonesia Jakarta service contract.</w:t>
      </w:r>
    </w:p>
    <w:p>
      <w:pPr>
        <w:numPr>
          <w:ilvl w:val="0"/>
          <w:numId w:val="1001"/>
        </w:numPr>
        <w:pStyle w:val="Compact"/>
      </w:pPr>
      <w:r>
        <w:t xml:space="preserve">This Invoice covers all Welder labor, supervision, consumables, and mobilization costs for the period specified. Any additional Welder hours or scope changes beyond the contracted Indonesia Jakarta deliverables will be invoiced separately.</w:t>
      </w:r>
    </w:p>
    <w:p>
      <w:pPr>
        <w:numPr>
          <w:ilvl w:val="0"/>
          <w:numId w:val="1001"/>
        </w:numPr>
        <w:pStyle w:val="Compact"/>
      </w:pPr>
      <w:r>
        <w:t xml:space="preserve">Welding defect rectification (if any) within 30 days of completion at the Indonesia Jakarta site is included at no additional charge under the warranty clause of the master agreement.</w:t>
      </w:r>
    </w:p>
    <w:bookmarkEnd w:id="24"/>
    <w:bookmarkStart w:id="25" w:name="payment-instructions-indonesia-jakarta"/>
    <w:p>
      <w:pPr>
        <w:pStyle w:val="Heading3"/>
      </w:pPr>
      <w:r>
        <w:t xml:space="preserve">Payment Instructions – Indonesia Jakarta</w:t>
      </w:r>
    </w:p>
    <w:p>
      <w:pPr>
        <w:pStyle w:val="FirstParagraph"/>
      </w:pPr>
      <w:r>
        <w:rPr>
          <w:bCs/>
          <w:b/>
        </w:rPr>
        <w:t xml:space="preserve">Bank:</w:t>
      </w:r>
      <w:r>
        <w:t xml:space="preserve"> </w:t>
      </w:r>
      <w:r>
        <w:t xml:space="preserve">Bank Central Asia (BCA)</w:t>
      </w:r>
    </w:p>
    <w:p>
      <w:pPr>
        <w:pStyle w:val="BodyText"/>
      </w:pPr>
      <w:r>
        <w:rPr>
          <w:bCs/>
          <w:b/>
        </w:rPr>
        <w:t xml:space="preserve">Account Name:</w:t>
      </w:r>
      <w:r>
        <w:t xml:space="preserve"> </w:t>
      </w:r>
      <w:r>
        <w:t xml:space="preserve">PT. Nusantara Welding Solutions</w:t>
      </w:r>
    </w:p>
    <w:p>
      <w:pPr>
        <w:pStyle w:val="BodyText"/>
      </w:pPr>
      <w:r>
        <w:rPr>
          <w:bCs/>
          <w:b/>
        </w:rPr>
        <w:t xml:space="preserve">Account No:</w:t>
      </w:r>
      <w:r>
        <w:t xml:space="preserve"> </w:t>
      </w:r>
      <w:r>
        <w:t xml:space="preserve">512-3456-789-01</w:t>
      </w:r>
    </w:p>
    <w:p>
      <w:pPr>
        <w:pStyle w:val="BodyText"/>
      </w:pPr>
      <w:r>
        <w:rPr>
          <w:bCs/>
          <w:b/>
        </w:rPr>
        <w:t xml:space="preserve">SWIFT Code:</w:t>
      </w:r>
      <w:r>
        <w:t xml:space="preserve"> </w:t>
      </w:r>
      <w:r>
        <w:t xml:space="preserve">BCAKIDJA</w:t>
      </w:r>
    </w:p>
    <w:p>
      <w:pPr>
        <w:pStyle w:val="BodyText"/>
      </w:pPr>
      <w:r>
        <w:rPr>
          <w:bCs/>
          <w:b/>
        </w:rPr>
        <w:t xml:space="preserve">Branch:</w:t>
      </w:r>
      <w:r>
        <w:t xml:space="preserve"> </w:t>
      </w:r>
      <w:r>
        <w:t xml:space="preserve">Cakung, Indonesia Jakarta</w:t>
      </w:r>
    </w:p>
    <w:bookmarkEnd w:id="25"/>
    <w:bookmarkStart w:id="26" w:name="invoice-issued-by"/>
    <w:p>
      <w:pPr>
        <w:pStyle w:val="Heading3"/>
      </w:pPr>
      <w:r>
        <w:t xml:space="preserve">Invoice Issued By</w:t>
      </w:r>
    </w:p>
    <w:p>
      <w:pPr>
        <w:pStyle w:val="FirstParagraph"/>
      </w:pPr>
      <w:r>
        <w:rPr>
          <w:bCs/>
          <w:b/>
        </w:rPr>
        <w:t xml:space="preserve">Name:</w:t>
      </w:r>
      <w:r>
        <w:t xml:space="preserve"> </w:t>
      </w:r>
      <w:r>
        <w:t xml:space="preserve">Sari Wulandari, Finance Manager</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15 June 2025</w:t>
      </w:r>
    </w:p>
    <w:p>
      <w:pPr>
        <w:pStyle w:val="BodyText"/>
      </w:pPr>
      <w:r>
        <w:rPr>
          <w:bCs/>
          <w:b/>
        </w:rPr>
        <w:t xml:space="preserve">Stamp:</w:t>
      </w:r>
      <w:r>
        <w:t xml:space="preserve"> </w:t>
      </w:r>
      <w:r>
        <w:t xml:space="preserve">[Company Seal]</w:t>
      </w:r>
    </w:p>
    <w:bookmarkEnd w:id="26"/>
    <w:p>
      <w:pPr>
        <w:pStyle w:val="BodyText"/>
      </w:pPr>
      <w:r>
        <w:rPr>
          <w:bCs/>
          <w:b/>
        </w:rPr>
        <w:t xml:space="preserve">PT. Nusantara Welding Solutions</w:t>
      </w:r>
      <w:r>
        <w:t xml:space="preserve"> </w:t>
      </w:r>
      <w:r>
        <w:t xml:space="preserve">– Professional Welder Services Provider in Indonesia Jakarta</w:t>
      </w:r>
    </w:p>
    <w:p>
      <w:pPr>
        <w:pStyle w:val="BodyText"/>
      </w:pPr>
      <w:r>
        <w:t xml:space="preserve">This Invoice is a valid tax document under Indonesian fiscal regulations (UU PPN No. 42 Tahun 2009). Please retain this Invoice for your company's accounting and tax reporting purposes in Indonesia Jakarta.</w:t>
      </w:r>
    </w:p>
    <w:p>
      <w:pPr>
        <w:pStyle w:val="BodyText"/>
      </w:pPr>
      <w:r>
        <w:t xml:space="preserve">For inquiries regarding this Invoice or Welder service delivery, please contact our Indonesia Jakarta billing office at billing@nusantarawelding.co.id or +62 21 4601 8892 (Mon–Fri, 08:00–17:00 WIB).</w:t>
      </w:r>
    </w:p>
    <w:p>
      <w:pPr>
        <w:pStyle w:val="BodyText"/>
      </w:pPr>
      <w:r>
        <w:t xml:space="preserve">© 2025 PT. Nusantara Welding Solutions. All rights reserved. Invoice INV-JKT-2025-00847.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Welder Services - Indonesia Jakarta</dc:title>
  <dc:creator/>
  <dc:language>en</dc:language>
  <cp:keywords/>
  <dcterms:created xsi:type="dcterms:W3CDTF">2026-10-10T03:00:20Z</dcterms:created>
  <dcterms:modified xsi:type="dcterms:W3CDTF">2026-10-10T03:00:20Z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