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Academic</w:t>
      </w:r>
      <w:r>
        <w:t xml:space="preserve"> </w:t>
      </w:r>
      <w:r>
        <w:t xml:space="preserve">Researcher</w:t>
      </w:r>
      <w:r>
        <w:t xml:space="preserve"> </w:t>
      </w:r>
      <w:r>
        <w:t xml:space="preserve">Performance</w:t>
      </w:r>
      <w:r>
        <w:t xml:space="preserve"> </w:t>
      </w:r>
      <w:r>
        <w:t xml:space="preserve">in</w:t>
      </w:r>
      <w:r>
        <w:t xml:space="preserve"> </w:t>
      </w:r>
      <w:r>
        <w:t xml:space="preserve">Australia,</w:t>
      </w:r>
      <w:r>
        <w:t xml:space="preserve"> </w:t>
      </w:r>
      <w:r>
        <w:t xml:space="preserve">Brisbane</w:t>
      </w:r>
    </w:p>
    <w:bookmarkStart w:id="21" w:name="Xa3bc4eae937ed4c0bf9bb2f62b2047b7535ffb5"/>
    <w:p>
      <w:pPr>
        <w:pStyle w:val="Heading1"/>
      </w:pPr>
      <w:r>
        <w:t xml:space="preserve">Laboratory Report and Performance Analysis</w:t>
      </w:r>
    </w:p>
    <w:bookmarkStart w:id="20" w:name="Xe7fd4ad3015bda5cb17aacbd5cb50c89b13cf4b"/>
    <w:p>
      <w:pPr>
        <w:pStyle w:val="Heading2"/>
      </w:pPr>
      <w:r>
        <w:rPr>
          <w:bCs/>
          <w:b/>
        </w:rPr>
        <w:t xml:space="preserve">Title:</w:t>
      </w:r>
      <w:r>
        <w:t xml:space="preserve"> </w:t>
      </w:r>
      <w:r>
        <w:t xml:space="preserve">Comprehensive Assessment of the Academic Researcher Role within the Scientific Ecosystem of Australia, Brisbane.</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Department of Scientific Affairs and Institutional Review</w:t>
      </w:r>
      <w:r>
        <w:br/>
      </w:r>
      <w:r>
        <w:rPr>
          <w:bCs/>
          <w:b/>
        </w:rPr>
        <w:t xml:space="preserve">Jurisdiction:</w:t>
      </w:r>
      <w:r>
        <w:t xml:space="preserve"> </w:t>
      </w:r>
      <w:r>
        <w:t xml:space="preserve">Australia, Brisbane Region</w:t>
      </w:r>
    </w:p>
    <w:bookmarkEnd w:id="20"/>
    <w:bookmarkEnd w:id="21"/>
    <w:bookmarkStart w:id="22" w:name="i.-executive-summary"/>
    <w:p>
      <w:pPr>
        <w:pStyle w:val="Heading1"/>
      </w:pPr>
      <w:r>
        <w:t xml:space="preserve">I. Executive Summary</w:t>
      </w:r>
    </w:p>
    <w:p>
      <w:pPr>
        <w:pStyle w:val="FirstParagraph"/>
      </w:pPr>
      <w:r>
        <w:t xml:space="preserve">This document serves as a formal</w:t>
      </w:r>
      <w:r>
        <w:t xml:space="preserve"> </w:t>
      </w:r>
      <w:r>
        <w:rPr>
          <w:bCs/>
          <w:b/>
        </w:rPr>
        <w:t xml:space="preserve">Laboratory Report</w:t>
      </w:r>
      <w:r>
        <w:t xml:space="preserve">, detailing the operational parameters, ethical considerations, and strategic objectives associated with the role of an</w:t>
      </w:r>
      <w:r>
        <w:t xml:space="preserve"> </w:t>
      </w:r>
      <w:r>
        <w:rPr>
          <w:bCs/>
          <w:b/>
        </w:rPr>
        <w:t xml:space="preserve">Academic Researcher</w:t>
      </w:r>
      <w:r>
        <w:t xml:space="preserve">. The primary focus of this analysis is situated within the vibrant scientific hub of</w:t>
      </w:r>
      <w:r>
        <w:t xml:space="preserve"> </w:t>
      </w:r>
      <w:r>
        <w:rPr>
          <w:bCs/>
          <w:b/>
        </w:rPr>
        <w:t xml:space="preserve">Australia Brisbane</w:t>
      </w:r>
      <w:r>
        <w:t xml:space="preserve">. As a city renowned for its growing contributions to biotechnology, environmental science, and digital humanities, Brisbane represents a critical node in the global academic network. This report aims to delineate the specific responsibilities required of an</w:t>
      </w:r>
      <w:r>
        <w:t xml:space="preserve"> </w:t>
      </w:r>
      <w:r>
        <w:rPr>
          <w:bCs/>
          <w:b/>
        </w:rPr>
        <w:t xml:space="preserve">Academic Researcher</w:t>
      </w:r>
      <w:r>
        <w:t xml:space="preserve"> </w:t>
      </w:r>
      <w:r>
        <w:t xml:space="preserve">operating within this unique geographic and institutional context, ensuring that all activities adhere to the rigorous standards expected by Australian regulatory bodies.</w:t>
      </w:r>
    </w:p>
    <w:bookmarkEnd w:id="22"/>
    <w:bookmarkStart w:id="23" w:name="X42a11c7c51409a1dffe54f058bf4eaef3dfe107"/>
    <w:p>
      <w:pPr>
        <w:pStyle w:val="Heading1"/>
      </w:pPr>
      <w:r>
        <w:t xml:space="preserve">II. Introduction and Contextual Background</w:t>
      </w:r>
    </w:p>
    <w:p>
      <w:pPr>
        <w:pStyle w:val="FirstParagraph"/>
      </w:pPr>
      <w:r>
        <w:t xml:space="preserve">The role of an</w:t>
      </w:r>
      <w:r>
        <w:t xml:space="preserve"> </w:t>
      </w:r>
      <w:r>
        <w:rPr>
          <w:bCs/>
          <w:b/>
        </w:rPr>
        <w:t xml:space="preserve">Academic Researcher</w:t>
      </w:r>
      <w:r>
        <w:t xml:space="preserve">Australia Brisbane, researchers operate within a landscape influenced by both national Australian frameworks and local Queensland state policies. The city is home to several prestigious institutions, including The University of Queensland (UQ) and QUT (Queensland University of Technology), which set high benchmarks for research excellence.</w:t>
      </w:r>
    </w:p>
    <w:p>
      <w:pPr>
        <w:pStyle w:val="BodyText"/>
      </w:pPr>
      <w:r>
        <w:t xml:space="preserve">This</w:t>
      </w:r>
      <w:r>
        <w:t xml:space="preserve"> </w:t>
      </w:r>
      <w:r>
        <w:rPr>
          <w:bCs/>
          <w:b/>
        </w:rPr>
        <w:t xml:space="preserve">Laboratory Report</w:t>
      </w:r>
      <w:r>
        <w:t xml:space="preserve"> </w:t>
      </w:r>
      <w:r>
        <w:t xml:space="preserve">establishes the baseline for operational conduct. It posits that an effective</w:t>
      </w:r>
      <w:r>
        <w:t xml:space="preserve"> </w:t>
      </w:r>
      <w:r>
        <w:rPr>
          <w:bCs/>
          <w:b/>
        </w:rPr>
        <w:t xml:space="preserve">Academic Researcher</w:t>
      </w:r>
      <w:r>
        <w:t xml:space="preserve"> </w:t>
      </w:r>
      <w:r>
        <w:t xml:space="preserve">in this region must navigate a complex matrix of ethical guidelines, safety protocols, and collaborative opportunities. The significance of location cannot be overstated; the unique biodiversity of Queensland and the urban development challenges in Brisbane provide distinct research opportunities that require specialized academic attention.</w:t>
      </w:r>
    </w:p>
    <w:bookmarkEnd w:id="23"/>
    <w:bookmarkStart w:id="24" w:name="Xc908d45e41e353d6b7c738304c962240a4ee16e"/>
    <w:p>
      <w:pPr>
        <w:pStyle w:val="Heading1"/>
      </w:pPr>
      <w:r>
        <w:t xml:space="preserve">III. Methodology and Operational Framework</w:t>
      </w:r>
    </w:p>
    <w:p>
      <w:pPr>
        <w:pStyle w:val="FirstParagraph"/>
      </w:pPr>
      <w:r>
        <w:t xml:space="preserve">To properly define the scope of work for an</w:t>
      </w:r>
      <w:r>
        <w:t xml:space="preserve"> </w:t>
      </w:r>
      <w:r>
        <w:rPr>
          <w:bCs/>
          <w:b/>
        </w:rPr>
        <w:t xml:space="preserve">Academic Researcher</w:t>
      </w:r>
      <w:r>
        <w:t xml:space="preserve">, this report adopts a mixed-methods approach to evaluating job requirements. The methodology includes:</w:t>
      </w:r>
    </w:p>
    <w:p>
      <w:pPr>
        <w:numPr>
          <w:ilvl w:val="0"/>
          <w:numId w:val="1001"/>
        </w:numPr>
        <w:pStyle w:val="Compact"/>
      </w:pPr>
      <w:r>
        <w:rPr>
          <w:bCs/>
          <w:b/>
        </w:rPr>
        <w:t xml:space="preserve">Literature Review:</w:t>
      </w:r>
      <w:r>
        <w:t xml:space="preserve"> </w:t>
      </w:r>
      <w:r>
        <w:t xml:space="preserve">An analysis of current academic standards in Australia, specifically focusing on the National Statement on Ethical Conduct in Human Research.</w:t>
      </w:r>
    </w:p>
    <w:p>
      <w:pPr>
        <w:numPr>
          <w:ilvl w:val="0"/>
          <w:numId w:val="1001"/>
        </w:numPr>
        <w:pStyle w:val="Compact"/>
      </w:pPr>
      <w:r>
        <w:rPr>
          <w:bCs/>
          <w:b/>
        </w:rPr>
        <w:t xml:space="preserve">Safety Protocol Assessment:</w:t>
      </w:r>
      <w:r>
        <w:t xml:space="preserve"> </w:t>
      </w:r>
      <w:r>
        <w:t xml:space="preserve">A review of laboratory safety standards mandated for facilities within Brisbane.</w:t>
      </w:r>
    </w:p>
    <w:p>
      <w:pPr>
        <w:numPr>
          <w:ilvl w:val="0"/>
          <w:numId w:val="1001"/>
        </w:numPr>
        <w:pStyle w:val="Compact"/>
      </w:pPr>
      <w:r>
        <w:rPr>
          <w:bCs/>
          <w:b/>
        </w:rPr>
        <w:t xml:space="preserve">Collaborative Analysis:</w:t>
      </w:r>
      <w:r>
        <w:t xml:space="preserve"> </w:t>
      </w:r>
      <w:r>
        <w:t xml:space="preserve">Evaluation of cross-disciplinary projects common in the local university sector.</w:t>
      </w:r>
    </w:p>
    <w:p>
      <w:pPr>
        <w:pStyle w:val="FirstParagraph"/>
      </w:pPr>
      <w:r>
        <w:t xml:space="preserve">The findings suggest that an</w:t>
      </w:r>
      <w:r>
        <w:t xml:space="preserve"> </w:t>
      </w:r>
      <w:r>
        <w:rPr>
          <w:bCs/>
          <w:b/>
        </w:rPr>
        <w:t xml:space="preserve">Academic Researcher</w:t>
      </w:r>
    </w:p>
    <w:bookmarkEnd w:id="24"/>
    <w:bookmarkStart w:id="29" w:name="Xef73bf1b2c2b49cec10b60348683320b2763490"/>
    <w:p>
      <w:pPr>
        <w:pStyle w:val="Heading1"/>
      </w:pPr>
      <w:r>
        <w:t xml:space="preserve">IV. Key Responsibilities of the Academic Researcher</w:t>
      </w:r>
    </w:p>
    <w:bookmarkStart w:id="25" w:name="a.-ethical-compliance-and-integrity"/>
    <w:p>
      <w:pPr>
        <w:pStyle w:val="Heading2"/>
      </w:pPr>
      <w:r>
        <w:t xml:space="preserve">A. Ethical Compliance and Integrity</w:t>
      </w:r>
    </w:p>
    <w:p>
      <w:pPr>
        <w:pStyle w:val="FirstParagraph"/>
      </w:pPr>
      <w:r>
        <w:t xml:space="preserve">The cornerstone of any</w:t>
      </w:r>
      <w:r>
        <w:t xml:space="preserve"> </w:t>
      </w:r>
      <w:r>
        <w:rPr>
          <w:bCs/>
          <w:b/>
        </w:rPr>
        <w:t xml:space="preserve">Laboratory Report</w:t>
      </w:r>
    </w:p>
    <w:bookmarkEnd w:id="25"/>
    <w:bookmarkStart w:id="26" w:name="b.-laboratory-safety-and-management"/>
    <w:p>
      <w:pPr>
        <w:pStyle w:val="Heading2"/>
      </w:pPr>
      <w:r>
        <w:t xml:space="preserve">B. Laboratory Safety and Management</w:t>
      </w:r>
    </w:p>
    <w:p>
      <w:pPr>
        <w:pStyle w:val="FirstParagraph"/>
      </w:pPr>
      <w:r>
        <w:t xml:space="preserve">The physical laboratory environment requires meticulous management. An</w:t>
      </w:r>
    </w:p>
    <w:bookmarkEnd w:id="26"/>
    <w:bookmarkStart w:id="27" w:name="Xde3f6d97c2ca1a58ffe978f121fca34eb5bf72a"/>
    <w:p>
      <w:pPr>
        <w:pStyle w:val="Heading2"/>
      </w:pPr>
      <w:r>
        <w:t xml:space="preserve">C. Grant Acquisition and Financial Stewardship</w:t>
      </w:r>
    </w:p>
    <w:p>
      <w:pPr>
        <w:pStyle w:val="FirstParagraph"/>
      </w:pPr>
      <w:r>
        <w:t xml:space="preserve">In the competitive landscape of</w:t>
      </w:r>
    </w:p>
    <w:bookmarkEnd w:id="27"/>
    <w:bookmarkStart w:id="28" w:name="X496943a64a5cdd91e6477624fe800c4dedbd31a"/>
    <w:p>
      <w:pPr>
        <w:pStyle w:val="Heading2"/>
      </w:pPr>
      <w:r>
        <w:t xml:space="preserve">D. Knowledge Dissemination and Community Engagement</w:t>
      </w:r>
    </w:p>
    <w:p>
      <w:pPr>
        <w:pStyle w:val="FirstParagraph"/>
      </w:pPr>
      <w:r>
        <w:t xml:space="preserve">The role extends to the public sphere. An effective</w:t>
      </w:r>
    </w:p>
    <w:bookmarkEnd w:id="28"/>
    <w:bookmarkEnd w:id="29"/>
    <w:bookmarkStart w:id="30" w:name="X3c1aca32789c06c8434f055a30feb8b7d9d1aef"/>
    <w:p>
      <w:pPr>
        <w:pStyle w:val="Heading1"/>
      </w:pPr>
      <w:r>
        <w:t xml:space="preserve">V. The Brisbane Context: Specific Considerations</w:t>
      </w:r>
    </w:p>
    <w:p>
      <w:pPr>
        <w:pStyle w:val="FirstParagraph"/>
      </w:pPr>
      <w:r>
        <w:t xml:space="preserve">The location-specific factors of . The city’s tropical climate influences environmental research, particularly concerning marine biology and coral reef ecosystems in the nearby Great Barrier Reef region. Furthermore, the rapid urbanization of Brisbane necessitates research into sustainable architecture and urban planning.</w:t>
      </w:r>
    </w:p>
    <w:p>
      <w:pPr>
        <w:pStyle w:val="BodyText"/>
      </w:pPr>
      <w:r>
        <w:t xml:space="preserve">Additionally, collaboration with Indigenous Australian communities is a critical component of modern academic research in this region. An</w:t>
      </w:r>
    </w:p>
    <w:bookmarkEnd w:id="30"/>
    <w:bookmarkStart w:id="31" w:name="vi.-results-and-observations"/>
    <w:p>
      <w:pPr>
        <w:pStyle w:val="Heading1"/>
      </w:pPr>
      <w:r>
        <w:t xml:space="preserve">VI. Results and Observations</w:t>
      </w:r>
    </w:p>
    <w:p>
      <w:pPr>
        <w:pStyle w:val="FirstParagraph"/>
      </w:pPr>
      <w:r>
        <w:t xml:space="preserve">The analysis indicates that the success of an</w:t>
      </w:r>
    </w:p>
    <w:bookmarkEnd w:id="31"/>
    <w:bookmarkStart w:id="32" w:name="vii.-recommendations"/>
    <w:p>
      <w:pPr>
        <w:pStyle w:val="Heading1"/>
      </w:pPr>
      <w:r>
        <w:t xml:space="preserve">VII. Recommendations</w:t>
      </w:r>
    </w:p>
    <w:p>
      <w:pPr>
        <w:pStyle w:val="FirstParagraph"/>
      </w:pPr>
      <w:r>
        <w:t xml:space="preserve">Based on the findings of this</w:t>
      </w:r>
    </w:p>
    <w:p>
      <w:pPr>
        <w:numPr>
          <w:ilvl w:val="0"/>
          <w:numId w:val="1002"/>
        </w:numPr>
        <w:pStyle w:val="Compact"/>
      </w:pPr>
      <w:r>
        <w:rPr>
          <w:bCs/>
          <w:b/>
        </w:rPr>
        <w:t xml:space="preserve">Prioritize Ethical Training:</w:t>
      </w:r>
      <w:r>
        <w:t xml:space="preserve"> </w:t>
      </w:r>
      <w:r>
        <w:t xml:space="preserve">Continuous professional development in research ethics is mandatory.</w:t>
      </w:r>
    </w:p>
    <w:p>
      <w:pPr>
        <w:numPr>
          <w:ilvl w:val="0"/>
          <w:numId w:val="1002"/>
        </w:numPr>
        <w:pStyle w:val="Compact"/>
      </w:pPr>
      <w:r>
        <w:rPr>
          <w:bCs/>
          <w:b/>
        </w:rPr>
        <w:t xml:space="preserve">Foster Local Partnerships:</w:t>
      </w:r>
      <w:r>
        <w:t xml:space="preserve"> </w:t>
      </w:r>
      <w:r>
        <w:t xml:space="preserve">Build relationships with local industries and community groups to enhance the relevance of research.</w:t>
      </w:r>
    </w:p>
    <w:p>
      <w:pPr>
        <w:numPr>
          <w:ilvl w:val="0"/>
          <w:numId w:val="1002"/>
        </w:numPr>
        <w:pStyle w:val="Compact"/>
      </w:pPr>
      <w:r>
        <w:t xml:space="preserve">Am</w:t>
      </w:r>
      <w:r>
        <w:rPr>
          <w:bCs/>
          <w:b/>
        </w:rPr>
        <w:t xml:space="preserve">e</w:t>
      </w:r>
      <w:r>
        <w:t xml:space="preserve">n</w:t>
      </w:r>
    </w:p>
    <w:p>
      <w:pPr>
        <w:numPr>
          <w:ilvl w:val="0"/>
          <w:numId w:val="1000"/>
        </w:numPr>
        <w:pStyle w:val="Compact"/>
      </w:pPr>
      <w:r>
        <w:t xml:space="preserve">d mphasize Cultural Competency: Develop skills in working with Indigenous communities to ensure ethical and inclusive research practices.</w:t>
      </w:r>
    </w:p>
    <w:p>
      <w:pPr>
        <w:numPr>
          <w:ilvl w:val="0"/>
          <w:numId w:val="1002"/>
        </w:numPr>
        <w:pStyle w:val="Compact"/>
      </w:pPr>
      <w:r>
        <w:t xml:space="preserve">Leverage Technological Infrastructure: Utilize the advanced digital resources available in Brisbane’s university campuses for data analysis and collaboration.</w:t>
      </w:r>
    </w:p>
    <w:bookmarkEnd w:id="32"/>
    <w:bookmarkStart w:id="33" w:name="viii.-conclusion"/>
    <w:p>
      <w:pPr>
        <w:pStyle w:val="Heading1"/>
      </w:pPr>
      <w:r>
        <w:t xml:space="preserve">VIII. Conclusion</w:t>
      </w:r>
    </w:p>
    <w:p>
      <w:pPr>
        <w:pStyle w:val="FirstParagraph"/>
      </w:pPr>
      <w:r>
        <w:t xml:space="preserve">This document has outlined the multifaceted nature of the . The responsibilities are extensive, ranging from rigorous laboratory safety to profound ethical considerations and community engagement. By adhering to these guidelines, an</w:t>
      </w:r>
    </w:p>
    <w:p>
      <w:pPr>
        <w:pStyle w:val="BodyText"/>
      </w:pPr>
      <w:r>
        <w:t xml:space="preserve">This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Academic Researcher Performance in Australia, Brisbane</dc:title>
  <dc:creator/>
  <cp:keywords/>
  <dcterms:created xsi:type="dcterms:W3CDTF">2026-07-29T19:19:13Z</dcterms:created>
  <dcterms:modified xsi:type="dcterms:W3CDTF">2026-07-29T19:19:13Z</dcterms:modified>
</cp:coreProperties>
</file>

<file path=docProps/custom.xml><?xml version="1.0" encoding="utf-8"?>
<Properties xmlns="http://schemas.openxmlformats.org/officeDocument/2006/custom-properties" xmlns:vt="http://schemas.openxmlformats.org/officeDocument/2006/docPropsVTypes"/>
</file>