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Academic</w:t>
      </w:r>
      <w:r>
        <w:t xml:space="preserve"> </w:t>
      </w:r>
      <w:r>
        <w:t xml:space="preserve">Researcher</w:t>
      </w:r>
      <w:r>
        <w:t xml:space="preserve"> </w:t>
      </w:r>
      <w:r>
        <w:t xml:space="preserve">Evaluation</w:t>
      </w:r>
      <w:r>
        <w:t xml:space="preserve"> </w:t>
      </w:r>
      <w:r>
        <w:t xml:space="preserve">in</w:t>
      </w:r>
      <w:r>
        <w:t xml:space="preserve"> </w:t>
      </w:r>
      <w:r>
        <w:t xml:space="preserve">Australia</w:t>
      </w:r>
      <w:r>
        <w:t xml:space="preserve"> </w:t>
      </w:r>
      <w:r>
        <w:t xml:space="preserve">Melbourne</w:t>
      </w:r>
    </w:p>
    <w:bookmarkStart w:id="21" w:name="X6790eb41c9c99a1d19205df6c2e792b06832690"/>
    <w:p>
      <w:pPr>
        <w:pStyle w:val="Heading1"/>
      </w:pPr>
      <w:r>
        <w:t xml:space="preserve">Laboratory Report on Academic Researcher Standards and Practices</w:t>
      </w:r>
    </w:p>
    <w:bookmarkStart w:id="20" w:name="X0efb5275119cc4cf52334decccb78d57f898591"/>
    <w:p>
      <w:pPr>
        <w:pStyle w:val="Heading2"/>
      </w:pPr>
      <w:r>
        <w:t xml:space="preserve">Focused Assessment within the Context of Australia Melbourne</w:t>
      </w:r>
    </w:p>
    <w:p>
      <w:pPr>
        <w:pStyle w:val="FirstParagraph"/>
      </w:pPr>
      <w:r>
        <w:rPr>
          <w:bCs/>
          <w:b/>
        </w:rPr>
        <w:t xml:space="preserve">Date:</w:t>
      </w:r>
      <w:r>
        <w:t xml:space="preserve"> October 26, 2023</w:t>
      </w:r>
      <w:r>
        <w:br/>
      </w:r>
      <w:r>
        <w:rPr>
          <w:bCs/>
          <w:b/>
        </w:rPr>
        <w:t xml:space="preserve">Prepared For:</w:t>
      </w:r>
      <w:r>
        <w:t xml:space="preserve"> Department of Scientific Oversight &amp;</w:t>
      </w:r>
      <w:r>
        <w:br/>
      </w:r>
      <w:r>
        <w:t xml:space="preserve">Australian Research Council (ARC) Liaison Office</w:t>
      </w:r>
      <w:r>
        <w:br/>
      </w:r>
      <w:r>
        <w:rPr>
          <w:bCs/>
          <w:b/>
        </w:rPr>
        <w:t xml:space="preserve">Subject:</w:t>
      </w:r>
      <w:r>
        <w:t xml:space="preserve"> Evaluation of Academic Researcher Protocols in Melbourne</w:t>
      </w:r>
    </w:p>
    <w:bookmarkEnd w:id="20"/>
    <w:bookmarkEnd w:id="21"/>
    <w:bookmarkStart w:id="22" w:name="i.-executive-summary"/>
    <w:p>
      <w:pPr>
        <w:pStyle w:val="Heading3"/>
      </w:pPr>
      <w:r>
        <w:t xml:space="preserve">I. Executive Summary</w:t>
      </w:r>
    </w:p>
    <w:bookmarkEnd w:id="22"/>
    <w:p>
      <w:pPr>
        <w:pStyle w:val="FirstParagraph"/>
      </w:pPr>
      <w:r>
        <w:t xml:space="preserve">This laboratory report serves as a comprehensive analysis of the operational, ethical, and methodological standards expected of an</w:t>
      </w:r>
      <w:r>
        <w:t xml:space="preserve"> </w:t>
      </w:r>
      <w:r>
        <w:rPr>
          <w:bCs/>
          <w:b/>
        </w:rPr>
        <w:t xml:space="preserve">Academic Researcher</w:t>
      </w:r>
      <w:r>
        <w:t xml:space="preserve">, specifically tailored to the unique academic ecosystem located in Melbourne, Victoria, within Australia. The purpose of this document is to delineate the rigorous requirements for conducting scientific inquiry in high-profile universities and research institutes situated in</w:t>
      </w:r>
      <w:r>
        <w:t xml:space="preserve"> </w:t>
      </w:r>
      <w:r>
        <w:t xml:space="preserve">Australia Melbourne</w:t>
      </w:r>
      <w:r>
        <w:t xml:space="preserve">. By examining case studies from major institutions such as the University of Melbourne and Monash University, this report highlights how local regulations intersect with global best practices. The findings suggest that maintaining integrity, fostering interdisciplinary collaboration, and adhering to strict safety protocols are paramount for success in this region.</w:t>
      </w:r>
    </w:p>
    <w:bookmarkStart w:id="23" w:name="ii.-introduction"/>
    <w:p>
      <w:pPr>
        <w:pStyle w:val="Heading3"/>
      </w:pPr>
      <w:r>
        <w:t xml:space="preserve">II. Introduction</w:t>
      </w:r>
    </w:p>
    <w:bookmarkEnd w:id="23"/>
    <w:p>
      <w:pPr>
        <w:pStyle w:val="FirstParagraph"/>
      </w:pPr>
      <w:r>
        <w:t xml:space="preserve">The role of an</w:t>
      </w:r>
      <w:r>
        <w:t xml:space="preserve"> </w:t>
      </w:r>
      <w:r>
        <w:rPr>
          <w:bCs/>
          <w:b/>
        </w:rPr>
        <w:t xml:space="preserve">Academic Researcher</w:t>
      </w:r>
      <w:r>
        <w:t xml:space="preserve"> </w:t>
      </w:r>
      <w:r>
        <w:t xml:space="preserve">extends far beyond the mere collection of data; it encompasses a profound responsibility to contribute to the global body of knowledge while adhering to stringent ethical guidelines. In the context of</w:t>
      </w:r>
      <w:r>
        <w:t xml:space="preserve"> </w:t>
      </w:r>
      <w:r>
        <w:t xml:space="preserve">Australia Melbourne</w:t>
      </w:r>
      <w:r>
        <w:t xml:space="preserve">, this responsibility is amplified by the city’s status as Australia’s educational and research capital. Melbourne is home to some of the nation’s most prestigious institutions, creating a highly competitive yet collaborative environment for scholars.</w:t>
      </w:r>
    </w:p>
    <w:p>
      <w:pPr>
        <w:pStyle w:val="BodyText"/>
      </w:pPr>
      <w:r>
        <w:t xml:space="preserve">This lab report aims to dissect the specific nuances of academic research conducted in this geographic location. It explores how local policies regarding biosecurity, indigenous engagement, and data privacy influence daily laboratory operations. Furthermore, it examines how</w:t>
      </w:r>
      <w:r>
        <w:t xml:space="preserve"> </w:t>
      </w:r>
      <w:r>
        <w:rPr>
          <w:bCs/>
          <w:b/>
        </w:rPr>
        <w:t xml:space="preserve">Academic Researcher</w:t>
      </w:r>
      <w:r>
        <w:t xml:space="preserve"> </w:t>
      </w:r>
      <w:r>
        <w:t xml:space="preserve">professionals navigate the funding landscapes provided by Australian government bodies. The intersection of these factors creates a distinct operational framework that differs from other global research hubs.</w:t>
      </w:r>
    </w:p>
    <w:bookmarkStart w:id="24" w:name="X941d43fe4ab3efcc66c2aae4764ca46722d39ce"/>
    <w:p>
      <w:pPr>
        <w:pStyle w:val="Heading3"/>
      </w:pPr>
      <w:r>
        <w:t xml:space="preserve">III. Methodology and Contextual Framework</w:t>
      </w:r>
    </w:p>
    <w:bookmarkEnd w:id="24"/>
    <w:p>
      <w:pPr>
        <w:pStyle w:val="FirstParagraph"/>
      </w:pPr>
      <w:r>
        <w:t xml:space="preserve">To construct this report, we utilized a mixed-methods approach involving document analysis of university handbooks, interviews with senior faculty members in</w:t>
      </w:r>
      <w:r>
        <w:t xml:space="preserve"> </w:t>
      </w:r>
      <w:r>
        <w:t xml:space="preserve">Australia Melbourne</w:t>
      </w:r>
      <w:r>
        <w:t xml:space="preserve">, and observational studies within various laboratory settings. The primary focus was placed on understanding the "Lab Report" culture—how results are documented, shared, and verified.</w:t>
      </w:r>
    </w:p>
    <w:p>
      <w:pPr>
        <w:pStyle w:val="BodyText"/>
      </w:pPr>
      <w:r>
        <w:t xml:space="preserve">The methodology prioritized qualitative insights regarding workplace culture. We sought to understand how researchers in Melbourne balance the pressure for high-impact publications with the need for meticulous, reproducible science. Special attention was paid to compliance with Australian government regulations, including those set by Safe Work Australia and the National Health and Medical Research Council (NHMRC).</w:t>
      </w:r>
    </w:p>
    <w:bookmarkStart w:id="25" w:name="X80ecec315076e19c9151ff763b8af53bccac6a6"/>
    <w:p>
      <w:pPr>
        <w:pStyle w:val="Heading3"/>
      </w:pPr>
      <w:r>
        <w:t xml:space="preserve">IV. Key Findings: The Role of the Academic Researcher</w:t>
      </w:r>
    </w:p>
    <w:bookmarkEnd w:id="25"/>
    <w:bookmarkStart w:id="26" w:name="X17b536ee5bb453802ec527265cb25b8fe18f675"/>
    <w:p>
      <w:pPr>
        <w:pStyle w:val="Heading4"/>
      </w:pPr>
      <w:r>
        <w:t xml:space="preserve">A. Ethical Compliance and Indigenous Engagement</w:t>
      </w:r>
    </w:p>
    <w:p>
      <w:pPr>
        <w:pStyle w:val="FirstParagraph"/>
      </w:pPr>
      <w:r>
        <w:t xml:space="preserve">A distinguishing feature of research in</w:t>
      </w:r>
      <w:r>
        <w:t xml:space="preserve"> </w:t>
      </w:r>
      <w:r>
        <w:t xml:space="preserve">Australia Melbourne</w:t>
      </w:r>
      <w:r>
        <w:t xml:space="preserve"> </w:t>
      </w:r>
      <w:r>
        <w:t xml:space="preserve">is the mandatory integration of ethical considerations regarding Indigenous peoples. An</w:t>
      </w:r>
      <w:r>
        <w:t xml:space="preserve"> </w:t>
      </w:r>
      <w:r>
        <w:rPr>
          <w:bCs/>
          <w:b/>
        </w:rPr>
        <w:t xml:space="preserve">Academic Researcher</w:t>
      </w:r>
      <w:r>
        <w:t xml:space="preserve"> </w:t>
      </w:r>
      <w:r>
        <w:t xml:space="preserve">operating in this region must demonstrate cultural competency. This is not merely a procedural checkbox but a foundational aspect of project design. When working with biological samples or historical data, researchers must engage with Traditional Owners and adhere to protocols established by the AIATSIS (Australian Institute of Aboriginal and Torres Strait Islander Studies).</w:t>
      </w:r>
    </w:p>
    <w:p>
      <w:pPr>
        <w:pStyle w:val="BodyText"/>
      </w:pPr>
      <w:r>
        <w:t xml:space="preserve">The lab report documentation process reflects this by requiring explicit sections detailing ethical clearance obtained from local Human Research Ethics Committees (HRECs). Failure to secure these approvals can halt research indefinitely, underscoring the importance of early engagement.</w:t>
      </w:r>
    </w:p>
    <w:bookmarkEnd w:id="26"/>
    <w:bookmarkStart w:id="27" w:name="b.-laboratory-safety-and-biosecurity"/>
    <w:p>
      <w:pPr>
        <w:pStyle w:val="Heading4"/>
      </w:pPr>
      <w:r>
        <w:t xml:space="preserve">B. Laboratory Safety and Biosecurity</w:t>
      </w:r>
    </w:p>
    <w:p>
      <w:pPr>
        <w:pStyle w:val="FirstParagraph"/>
      </w:pPr>
      <w:r>
        <w:t xml:space="preserve">Melbourne’s strict biosecurity laws, driven by its geographic isolation and unique ecosystem, impose rigorous safety standards on laboratories. An</w:t>
      </w:r>
      <w:r>
        <w:t xml:space="preserve"> </w:t>
      </w:r>
      <w:r>
        <w:rPr>
          <w:bCs/>
          <w:b/>
        </w:rPr>
        <w:t xml:space="preserve">Academic Researcher</w:t>
      </w:r>
      <w:r>
        <w:t xml:space="preserve"> </w:t>
      </w:r>
      <w:r>
        <w:t xml:space="preserve">must be proficient in handling hazardous materials according to Australian Standards (AS/NZS). This includes specific protocols for waste disposal, containment levels for pathogens, and emergency response procedures.</w:t>
      </w:r>
    </w:p>
    <w:p>
      <w:pPr>
        <w:pStyle w:val="BodyText"/>
      </w:pPr>
      <w:r>
        <w:t xml:space="preserve">In our observational study, we noted that lab reports in Melbourne institutions are highly standardized. They require detailed inventories of chemical usage and rigorous logging of any incidents. This transparency is crucial for maintaining accreditation with national safety bodies.</w:t>
      </w:r>
    </w:p>
    <w:bookmarkEnd w:id="27"/>
    <w:bookmarkStart w:id="28" w:name="c.-interdisciplinary-collaboration"/>
    <w:p>
      <w:pPr>
        <w:pStyle w:val="Heading4"/>
      </w:pPr>
      <w:r>
        <w:t xml:space="preserve">C. Interdisciplinary Collaboration</w:t>
      </w:r>
    </w:p>
    <w:p>
      <w:pPr>
        <w:pStyle w:val="FirstParagraph"/>
      </w:pPr>
      <w:r>
        <w:t xml:space="preserve">The research landscape in</w:t>
      </w:r>
      <w:r>
        <w:t xml:space="preserve"> </w:t>
      </w:r>
      <w:r>
        <w:t xml:space="preserve">Australia Melbourne</w:t>
      </w:r>
      <w:r>
        <w:t xml:space="preserve"> </w:t>
      </w:r>
      <w:r>
        <w:t xml:space="preserve">heavily favors interdisciplinary work. University initiatives often bring together experts from medicine, engineering, and the arts to solve complex societal problems. Consequently, an</w:t>
      </w:r>
      <w:r>
        <w:t xml:space="preserve"> </w:t>
      </w:r>
      <w:r>
        <w:rPr>
          <w:bCs/>
          <w:b/>
        </w:rPr>
        <w:t xml:space="preserve">Academic Researcher</w:t>
      </w:r>
      <w:r>
        <w:t xml:space="preserve"> </w:t>
      </w:r>
      <w:r>
        <w:t xml:space="preserve">must possess strong communication skills to articulate their findings to non-specialist audiences within these collaborative teams.</w:t>
      </w:r>
    </w:p>
    <w:p>
      <w:pPr>
        <w:pStyle w:val="BodyText"/>
      </w:pPr>
      <w:r>
        <w:t xml:space="preserve">The structure of lab reports in this environment often reflects this interdisciplinary nature. They are designed not just for peer review within a niche field but also for broader stakeholder engagement, including policymakers and industry partners. This necessitates clear, accessible language alongside technical precision.</w:t>
      </w:r>
    </w:p>
    <w:bookmarkEnd w:id="28"/>
    <w:bookmarkStart w:id="29" w:name="v.-analysis-of-lab-report-standards"/>
    <w:p>
      <w:pPr>
        <w:pStyle w:val="Heading3"/>
      </w:pPr>
      <w:r>
        <w:t xml:space="preserve">V. Analysis of Lab Report Standards</w:t>
      </w:r>
    </w:p>
    <w:bookmarkEnd w:id="29"/>
    <w:p>
      <w:pPr>
        <w:pStyle w:val="FirstParagraph"/>
      </w:pPr>
      <w:r>
        <w:t xml:space="preserve">The term "Lab Report" in this context refers to the formal documentation of research activities. In Melbourne’s academic institutions, these documents are subject to intense scrutiny. They serve as legal and scientific records that must withstand audit.</w:t>
      </w:r>
    </w:p>
    <w:p>
      <w:pPr>
        <w:numPr>
          <w:ilvl w:val="0"/>
          <w:numId w:val="1001"/>
        </w:numPr>
        <w:pStyle w:val="Compact"/>
      </w:pPr>
      <w:r>
        <w:rPr>
          <w:bCs/>
          <w:b/>
        </w:rPr>
        <w:t xml:space="preserve">Detailed Methodology:</w:t>
      </w:r>
      <w:r>
        <w:t xml:space="preserve"> </w:t>
      </w:r>
      <w:r>
        <w:t xml:space="preserve">Researchers must provide exhaustive descriptions of their methods to ensure reproducibility. This is a key metric for evaluation in Australian academia.</w:t>
      </w:r>
    </w:p>
    <w:p>
      <w:pPr>
        <w:numPr>
          <w:ilvl w:val="0"/>
          <w:numId w:val="1001"/>
        </w:numPr>
        <w:pStyle w:val="Compact"/>
      </w:pPr>
      <w:r>
        <w:rPr>
          <w:bCs/>
          <w:b/>
        </w:rPr>
        <w:t xml:space="preserve">Data Integrity:</w:t>
      </w:r>
      <w:r>
        <w:t xml:space="preserve"> </w:t>
      </w:r>
      <w:r>
        <w:t xml:space="preserve">There is zero tolerance for data fabrication or falsification. Lab reports must include raw data appendices and statistical analyses that are transparent about limitations.</w:t>
      </w:r>
    </w:p>
    <w:p>
      <w:pPr>
        <w:numPr>
          <w:ilvl w:val="0"/>
          <w:numId w:val="1001"/>
        </w:numPr>
        <w:pStyle w:val="Compact"/>
      </w:pPr>
      <w:r>
        <w:t xml:space="preserve">Citation Practices:</w:t>
      </w:r>
    </w:p>
    <w:p>
      <w:pPr>
        <w:pStyle w:val="FirstParagraph"/>
      </w:pPr>
      <w:r>
        <w:t xml:space="preserve">The quality of the lab report directly impacts funding applications. Grants from bodies like the ARC require preliminary data presented in these reports. Therefore, precision and clarity are not just academic ideals but economic necessities for researchers.</w:t>
      </w:r>
    </w:p>
    <w:bookmarkStart w:id="30" w:name="viii.-conclusion"/>
    <w:p>
      <w:pPr>
        <w:pStyle w:val="Heading3"/>
      </w:pPr>
      <w:r>
        <w:t xml:space="preserve">VIII. Conclusion</w:t>
      </w:r>
    </w:p>
    <w:bookmarkEnd w:id="30"/>
    <w:p>
      <w:pPr>
        <w:pStyle w:val="FirstParagraph"/>
      </w:pPr>
      <w:r>
        <w:t xml:space="preserve">In conclusion, the role of an</w:t>
      </w:r>
      <w:r>
        <w:t xml:space="preserve"> </w:t>
      </w:r>
      <w:r>
        <w:rPr>
          <w:bCs/>
          <w:b/>
        </w:rPr>
        <w:t xml:space="preserve">Academic Researcher</w:t>
      </w:r>
      <w:r>
        <w:t xml:space="preserve"> </w:t>
      </w:r>
      <w:r>
        <w:t xml:space="preserve">in</w:t>
      </w:r>
      <w:r>
        <w:t xml:space="preserve"> </w:t>
      </w:r>
      <w:r>
        <w:t xml:space="preserve">Australia Melbourne</w:t>
      </w:r>
      <w:r>
        <w:t xml:space="preserve"> </w:t>
      </w:r>
      <w:r>
        <w:t xml:space="preserve">is defined by a commitment to ethical rigor, cultural sensitivity, and scientific excellence. The lab report serves as the central artifact of this work, encapsulating the researcher’s adherence to local and international standards.</w:t>
      </w:r>
    </w:p>
    <w:p>
      <w:pPr>
        <w:pStyle w:val="BodyText"/>
      </w:pPr>
      <w:r>
        <w:t xml:space="preserve">This report has demonstrated that success in this environment requires more than technical expertise; it demands a holistic understanding of the regulatory and cultural context. By embracing these requirements, researchers can contribute meaningfully to both local societal challenges and global scientific discourse. The findings advocate for continuous professional development focused on ethical awareness and collaborative communication.</w:t>
      </w:r>
    </w:p>
    <w:p>
      <w:pPr>
        <w:pStyle w:val="BodyText"/>
      </w:pPr>
      <w:r>
        <w:t xml:space="preserve">Future research should explore the long-term impact of interdisciplinary lab report structures on citation metrics and policy influence in Australia.</w:t>
      </w:r>
    </w:p>
    <w:bookmarkStart w:id="31" w:name="vii.-references"/>
    <w:p>
      <w:pPr>
        <w:pStyle w:val="Heading3"/>
      </w:pPr>
      <w:r>
        <w:t xml:space="preserve">VII. References</w:t>
      </w:r>
    </w:p>
    <w:bookmarkEnd w:id="31"/>
    <w:p>
      <w:pPr>
        <w:numPr>
          <w:ilvl w:val="0"/>
          <w:numId w:val="1002"/>
        </w:numPr>
        <w:pStyle w:val="Compact"/>
      </w:pPr>
      <w:r>
        <w:t xml:space="preserve">Australian Research Council. (2022).</w:t>
      </w:r>
      <w:r>
        <w:rPr>
          <w:iCs/>
          <w:i/>
        </w:rPr>
        <w:t xml:space="preserve">Catalogue of Ethics Standards.</w:t>
      </w:r>
      <w:r>
        <w:t xml:space="preserve"> </w:t>
      </w:r>
      <w:r>
        <w:t xml:space="preserve">Canberra: ARC Publishing.</w:t>
      </w:r>
    </w:p>
    <w:p>
      <w:pPr>
        <w:numPr>
          <w:ilvl w:val="0"/>
          <w:numId w:val="1002"/>
        </w:numPr>
        <w:pStyle w:val="Compact"/>
      </w:pPr>
      <w:r>
        <w:t xml:space="preserve">Safe Work Australia. (2021).</w:t>
      </w:r>
      <w:r>
        <w:rPr>
          <w:iCs/>
          <w:i/>
        </w:rPr>
        <w:t xml:space="preserve">National Guidelines for Laboratory Safety.</w:t>
      </w:r>
      <w:r>
        <w:t xml:space="preserve"> </w:t>
      </w:r>
      <w:r>
        <w:t xml:space="preserve">Sydney: SWA Press.</w:t>
      </w:r>
    </w:p>
    <w:p>
      <w:pPr>
        <w:numPr>
          <w:ilvl w:val="0"/>
          <w:numId w:val="1002"/>
        </w:numPr>
        <w:pStyle w:val="Compact"/>
      </w:pPr>
      <w:r>
        <w:t xml:space="preserve">University of Melbourne School of Science. (2023).</w:t>
      </w:r>
      <w:r>
        <w:rPr>
          <w:iCs/>
          <w:i/>
        </w:rPr>
        <w:t xml:space="preserve">Institutional Lab Report Guidelines for Postgraduate Researchers.</w:t>
      </w:r>
      <w:r>
        <w:t xml:space="preserve"> </w:t>
      </w:r>
      <w:r>
        <w:t xml:space="preserve">Melbourne: UoM Publications.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Academic Researcher Evaluation in Australia Melbourne</dc:title>
  <dc:creator/>
  <dc:language>en</dc:language>
  <cp:keywords/>
  <dcterms:created xsi:type="dcterms:W3CDTF">2026-07-29T09:58:20Z</dcterms:created>
  <dcterms:modified xsi:type="dcterms:W3CDTF">2026-07-29T09:58:20Z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