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w:t>
      </w:r>
      <w:r>
        <w:t xml:space="preserve"> </w:t>
      </w:r>
      <w:r>
        <w:t xml:space="preserve">Canada,</w:t>
      </w:r>
      <w:r>
        <w:t xml:space="preserve"> </w:t>
      </w:r>
      <w:r>
        <w:t xml:space="preserve">Montreal</w:t>
      </w:r>
    </w:p>
    <w:p>
      <w:pPr>
        <w:pStyle w:val="FirstParagraph"/>
      </w:pPr>
      <w:r>
        <w:t xml:space="preserve">```html</w:t>
      </w:r>
    </w:p>
    <w:bookmarkStart w:id="42" w:name="X1d6447a5ea166574ed41120c14c0de84b75e56e"/>
    <w:p>
      <w:pPr>
        <w:pStyle w:val="Heading1"/>
      </w:pPr>
      <w:r>
        <w:t xml:space="preserve">Laboratory Report: Analysis of the Academic Researcher Ecosystem in Montreal, Canada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and Innovation Policy</w:t>
      </w:r>
      <w:r>
        <w:br/>
      </w:r>
      <w:r>
        <w:rPr>
          <w:bCs/>
          <w:b/>
        </w:rPr>
        <w:t xml:space="preserve">From:</w:t>
      </w:r>
      <w:r>
        <w:t xml:space="preserve"> </w:t>
      </w:r>
      <w:r>
        <w:t xml:space="preserve">Strategic Analysis Unit</w:t>
      </w:r>
      <w:r>
        <w:br/>
      </w:r>
      <w:r>
        <w:rPr>
          <w:bCs/>
          <w:b/>
        </w:rPr>
        <w:t xml:space="preserve">Subject:</w:t>
      </w:r>
      <w:r>
        <w:t xml:space="preserve"> </w:t>
      </w:r>
      <w:r>
        <w:t xml:space="preserve">Comprehensive Evaluation of the Academic Researcher Role in the Montreal Biomedical Cluster</w:t>
      </w:r>
    </w:p>
    <w:bookmarkStart w:id="21" w:name="i.-executive-summary"/>
    <w:p>
      <w:pPr>
        <w:pStyle w:val="Heading2"/>
      </w:pPr>
      <w:bookmarkStart w:id="20" w:name="executive_summary"/>
      <w:bookmarkEnd w:id="20"/>
      <w:r>
        <w:t xml:space="preserve">I. Executive Summary</w:t>
      </w:r>
    </w:p>
    <w:p>
      <w:pPr>
        <w:pStyle w:val="FirstParagraph"/>
      </w:pPr>
      <w:r>
        <w:t xml:space="preserve">This Lab Report provides a comprehensive analysis of the role, responsibilities, and environmental context of an Academic Researcher within the specific geographic and institutional framework of Montreal, Canada. Montreal has established itself as a global hub for scientific innovation, particularly in biomedical sciences, artificial intelligence (AI), and aerospace engineering. This report details how an Academic Researcher operates within this dynamic ecosystem, highlighting the interplay between university mandates, government funding structures unique to Quebec and Canada, and international collaboration opportunities.</w:t>
      </w:r>
    </w:p>
    <w:bookmarkEnd w:id="21"/>
    <w:bookmarkStart w:id="23" w:name="ii.-introduction"/>
    <w:p>
      <w:pPr>
        <w:pStyle w:val="Heading2"/>
      </w:pPr>
      <w:bookmarkStart w:id="22" w:name="introduction"/>
      <w:bookmarkEnd w:id="22"/>
      <w:r>
        <w:t xml:space="preserve">II. Introduction</w:t>
      </w:r>
    </w:p>
    <w:p>
      <w:pPr>
        <w:pStyle w:val="FirstParagraph"/>
      </w:pPr>
      <w:r>
        <w:t xml:space="preserve">The primary objective of this document is to deconstruct the profile of an Academic Researcher stationed in Montreal. Unlike generic research roles, the position in Montreal is characterized by a dual mandate: advancing theoretical knowledge and contributing to local economic development through translational science. The city’s unique bilingual environment (French and English) and its status as a major Canadian metropolitan area create distinct administrative and cultural parameters for researchers.</w:t>
      </w:r>
    </w:p>
    <w:p>
      <w:pPr>
        <w:pStyle w:val="BodyText"/>
      </w:pPr>
      <w:r>
        <w:t xml:space="preserve">This Lab Report aims to answer the following questions:</w:t>
      </w:r>
    </w:p>
    <w:p>
      <w:pPr>
        <w:numPr>
          <w:ilvl w:val="0"/>
          <w:numId w:val="1001"/>
        </w:numPr>
        <w:pStyle w:val="Compact"/>
      </w:pPr>
      <w:r>
        <w:t xml:space="preserve">What are the core duties of an Academic Researcher in Montreal’s universities?</w:t>
      </w:r>
    </w:p>
    <w:bookmarkEnd w:id="23"/>
    <w:bookmarkStart w:id="25" w:name="iii.-methodological-framework"/>
    <w:p>
      <w:pPr>
        <w:pStyle w:val="Heading2"/>
      </w:pPr>
      <w:bookmarkStart w:id="24" w:name="methodology"/>
      <w:bookmarkEnd w:id="24"/>
      <w:r>
        <w:t xml:space="preserve">III. Methodological Framework</w:t>
      </w:r>
    </w:p>
    <w:p>
      <w:pPr>
        <w:pStyle w:val="FirstParagraph"/>
      </w:pPr>
      <w:r>
        <w:t xml:space="preserve">To ensure the validity of this Lab Report, data was aggregated from three primary sources:</w:t>
      </w:r>
    </w:p>
    <w:p>
      <w:pPr>
        <w:pStyle w:val="FirstParagraph"/>
      </w:pPr>
      <w:r>
        <w:rPr>
          <w:bCs/>
          <w:b/>
        </w:rPr>
        <w:t xml:space="preserve">Institutional Policy Documents:</w:t>
      </w:r>
      <w:r>
        <w:t xml:space="preserve"> </w:t>
      </w:r>
      <w:r>
        <w:t xml:space="preserve">Reviewing faculty handbooks from leading Montreal institutions such as McGill University and Université de Montréal.</w:t>
      </w:r>
    </w:p>
    <w:p>
      <w:pPr>
        <w:pStyle w:val="BodyText"/>
      </w:pPr>
      <w:r>
        <w:t xml:space="preserve">2. Funding Guidelines: Analyzing grant structures from the Canadian Institutes of Health Research (CIHR), Natural Sciences and Engineering Research Council (NSERC), and the Fonds de recherche du Québec – Santé (FRQS).</w:t>
      </w:r>
    </w:p>
    <w:p>
      <w:pPr>
        <w:pStyle w:val="BodyText"/>
      </w:pPr>
      <w:r>
        <w:rPr>
          <w:bCs/>
          <w:b/>
        </w:rPr>
        <w:t xml:space="preserve">Semi-Structured Interviews:</w:t>
      </w:r>
      <w:r>
        <w:t xml:space="preserve"> </w:t>
      </w:r>
      <w:r>
        <w:t xml:space="preserve">Conducting interviews with five active Academic Researchers currently employed in Montreal’s research sector to gather qualitative data on daily workflows and challenges.</w:t>
      </w:r>
    </w:p>
    <w:p>
      <w:pPr>
        <w:pStyle w:val="BodyText"/>
      </w:pPr>
      <w:r>
        <w:t xml:space="preserve">/ul&gt;</w:t>
      </w:r>
    </w:p>
    <w:bookmarkEnd w:id="25"/>
    <w:bookmarkStart w:id="29" w:name="X4cddf80113f5bda498c47155afdcff72a4050ce"/>
    <w:p>
      <w:pPr>
        <w:pStyle w:val="Heading2"/>
      </w:pPr>
      <w:bookmarkStart w:id="26" w:name="findings"/>
      <w:bookmarkEnd w:id="26"/>
      <w:r>
        <w:t xml:space="preserve">IV. Findings: The Role of the Academic Researcher</w:t>
      </w:r>
    </w:p>
    <w:bookmarkStart w:id="27" w:name="a.-core-responsibilities"/>
    <w:p>
      <w:pPr>
        <w:pStyle w:val="Heading3"/>
      </w:pPr>
      <w:r>
        <w:t xml:space="preserve">A. Core Responsibilities</w:t>
      </w:r>
    </w:p>
    <w:p>
      <w:pPr>
        <w:pStyle w:val="FirstParagraph"/>
      </w:pPr>
      <w:r>
        <w:t xml:space="preserve">The role of an Academic Researcher in Montreal is multidimensional. Based on the data collected, three primary pillars define this position:</w:t>
      </w:r>
    </w:p>
    <w:p>
      <w:pPr>
        <w:pStyle w:val="FirstParagraph"/>
      </w:pPr>
      <w:r>
        <w:rPr>
          <w:bCs/>
          <w:b/>
        </w:rPr>
        <w:t xml:space="preserve">Pedagogical Mandate:</w:t>
      </w:r>
      <w:r>
        <w:t xml:space="preserve"> </w:t>
      </w:r>
      <w:r>
        <w:t xml:space="preserve">Unlike pure industry R&amp;D roles, Academic Researchers in Canada are primarily faculty members. In Montreal’s bilingual context, researchers must often teach in either English or French, depending on their institution. This requires strong cross-linguistic pedagogical skills.</w:t>
      </w:r>
    </w:p>
    <w:p>
      <w:pPr>
        <w:pStyle w:val="BodyText"/>
      </w:pPr>
      <w:r>
        <w:rPr>
          <w:bCs/>
          <w:b/>
        </w:rPr>
        <w:t xml:space="preserve">Research Output:</w:t>
      </w:r>
      <w:r>
        <w:t xml:space="preserve"> </w:t>
      </w:r>
      <w:r>
        <w:t xml:space="preserve">The expectation is high-impact publication in peer-reviewed journals. Given Montreal’s strength in AI and genomics, there is a pressure to produce data that contributes to global scientific consensus while addressing local health disparities.</w:t>
      </w:r>
    </w:p>
    <w:p>
      <w:pPr>
        <w:pStyle w:val="BodyText"/>
      </w:pPr>
      <w:r>
        <w:t xml:space="preserve">&lt;3. Community and Industry Engagement: Montreal’s ecosystem, including the Mila Institute for Artificial Intelligence and the McGill University Health Centre (MUHC), encourages researchers to translate findings into commercial or clinical applications. Academic Researchers are expected to maintain partnerships with industry stakeholders.</w:t>
      </w:r>
    </w:p>
    <w:p>
      <w:pPr>
        <w:pStyle w:val="BodyText"/>
      </w:pPr>
      <w:r>
        <w:t xml:space="preserve">/ol&gt;</w:t>
      </w:r>
    </w:p>
    <w:bookmarkEnd w:id="27"/>
    <w:bookmarkStart w:id="28" w:name="b.-the-bilingual-context"/>
    <w:p>
      <w:pPr>
        <w:pStyle w:val="Heading3"/>
      </w:pPr>
      <w:r>
        <w:t xml:space="preserve">B. The Bilingual Context</w:t>
      </w:r>
    </w:p>
    <w:p>
      <w:pPr>
        <w:pStyle w:val="FirstParagraph"/>
      </w:pPr>
      <w:r>
        <w:t xml:space="preserve">A distinctive feature of being an Academic Researcher in Montreal is the linguistic duality. While many research labs operate predominantly in English due to the international nature of science, administrative duties and undergraduate teaching often require proficiency in French. This dual requirement adds a layer of complexity to grant writing and public communication strategies.</w:t>
      </w:r>
    </w:p>
    <w:bookmarkEnd w:id="28"/>
    <w:bookmarkEnd w:id="29"/>
    <w:bookmarkStart w:id="33" w:name="X044908ee0b303cae33f894e242501f4d561aff4"/>
    <w:p>
      <w:pPr>
        <w:pStyle w:val="Heading2"/>
      </w:pPr>
      <w:bookmarkStart w:id="30" w:name="environment"/>
      <w:bookmarkEnd w:id="30"/>
      <w:r>
        <w:t xml:space="preserve">V. Environmental Analysis: The Montreal Context</w:t>
      </w:r>
    </w:p>
    <w:bookmarkStart w:id="31" w:name="a.-funding-landscape"/>
    <w:p>
      <w:pPr>
        <w:pStyle w:val="Heading3"/>
      </w:pPr>
      <w:r>
        <w:t xml:space="preserve">A. Funding Landscape</w:t>
      </w:r>
    </w:p>
    <w:p>
      <w:pPr>
        <w:pStyle w:val="FirstParagraph"/>
      </w:pPr>
      <w:r>
        <w:t xml:space="preserve">The financial sustainability of an Academic Researcher in Montreal depends on a hybrid funding model:</w:t>
      </w:r>
    </w:p>
    <w:p>
      <w:pPr>
        <w:pStyle w:val="BodyText"/>
      </w:pPr>
      <w:r>
        <w:t xml:space="preserve">1. Federal Grants (Canada): Provided by CIHR, NSERC, and SSHRC. These grants are highly competitive and support basic research.</w:t>
      </w:r>
    </w:p>
    <w:p>
      <w:pPr>
        <w:pStyle w:val="BodyText"/>
      </w:pPr>
      <w:r>
        <w:t xml:space="preserve">Provincial Grants (Quebec):</w:t>
      </w:r>
    </w:p>
    <w:p>
      <w:pPr>
        <w:pStyle w:val="BodyText"/>
      </w:pPr>
      <w:r>
        <w:t xml:space="preserve">Funds from the FRQS and FQRNT often focus on applied research with direct benefits to Quebec’s healthcare system or technological sector.</w:t>
      </w:r>
    </w:p>
    <w:p>
      <w:pPr>
        <w:pStyle w:val="BodyText"/>
      </w:pPr>
      <w:r>
        <w:t xml:space="preserve">3. Institutional Support: Universities in Montreal provide seed funding, lab space, and administrative support for grant applications.</w:t>
      </w:r>
    </w:p>
    <w:p>
      <w:pPr>
        <w:pStyle w:val="BodyText"/>
      </w:pPr>
      <w:r>
        <w:t xml:space="preserve">4. Industry Partnerships: Collaborative projects with pharmaceutical companies (e.g., in the Greater Montreal area) and tech firms provide additional resources.</w:t>
      </w:r>
    </w:p>
    <w:bookmarkEnd w:id="31"/>
    <w:bookmarkStart w:id="32" w:name="b.-institutional-ecosystem"/>
    <w:p>
      <w:pPr>
        <w:pStyle w:val="Heading3"/>
      </w:pPr>
      <w:r>
        <w:t xml:space="preserve">B. Institutional Ecosystem</w:t>
      </w:r>
    </w:p>
    <w:p>
      <w:pPr>
        <w:pStyle w:val="FirstParagraph"/>
      </w:pPr>
      <w:r>
        <w:t xml:space="preserve">Montreal is home to world-class institutions that define the researcher’s daily reality:</w:t>
      </w:r>
    </w:p>
    <w:p>
      <w:pPr>
        <w:pStyle w:val="BodyText"/>
      </w:pPr>
      <w:r>
        <w:t xml:space="preserve">/ul/&gt;</w:t>
      </w:r>
    </w:p>
    <w:p>
      <w:pPr>
        <w:pStyle w:val="BodyText"/>
      </w:pPr>
      <w:r>
        <w:rPr>
          <w:bCs/>
          <w:b/>
        </w:rPr>
        <w:t xml:space="preserve">Milá – Quebec AI Institute:</w:t>
      </w:r>
      <w:r>
        <w:t xml:space="preserve"> </w:t>
      </w:r>
      <w:r>
        <w:t xml:space="preserve">Researchers in computer science and data analysis benefit from Milá’s status as a global leader in deep learning. This creates opportunities for cross-disciplinary collaboration.</w:t>
      </w:r>
    </w:p>
    <w:p>
      <w:pPr>
        <w:pStyle w:val="BodyText"/>
      </w:pPr>
      <w:r>
        <w:rPr>
          <w:bCs/>
          <w:b/>
        </w:rPr>
        <w:t xml:space="preserve">The Biomedical Hub:</w:t>
      </w:r>
      <w:r>
        <w:t xml:space="preserve"> </w:t>
      </w:r>
      <w:r>
        <w:t xml:space="preserve">With the Montreal Neurological Institute and Hospital (The Neuro) and MUHC, Academic Researchers in health sciences have access to extensive clinical data and patient cohorts, facilitating rapid translational research.</w:t>
      </w:r>
    </w:p>
    <w:bookmarkEnd w:id="32"/>
    <w:bookmarkEnd w:id="33"/>
    <w:bookmarkStart w:id="35" w:name="vi.-challenges-identified"/>
    <w:p>
      <w:pPr>
        <w:pStyle w:val="Heading2"/>
      </w:pPr>
      <w:bookmarkStart w:id="34" w:name="challenges"/>
      <w:bookmarkEnd w:id="34"/>
      <w:r>
        <w:t xml:space="preserve">VI. Challenges Identified</w:t>
      </w:r>
    </w:p>
    <w:p>
      <w:pPr>
        <w:pStyle w:val="FirstParagraph"/>
      </w:pPr>
      <w:r>
        <w:t xml:space="preserve">The Lab Report identifies several structural challenges for Academic Researchers in Montreal:</w:t>
      </w:r>
    </w:p>
    <w:p>
      <w:pPr>
        <w:pStyle w:val="BodyText"/>
      </w:pPr>
      <w:r>
        <w:t xml:space="preserve">/ol/&gt;</w:t>
      </w:r>
    </w:p>
    <w:p>
      <w:pPr>
        <w:pStyle w:val="BodyText"/>
      </w:pPr>
      <w:r>
        <w:rPr>
          <w:bCs/>
          <w:b/>
        </w:rPr>
        <w:t xml:space="preserve">Bureaucratic Complexity:</w:t>
      </w:r>
      <w:r>
        <w:t xml:space="preserve"> </w:t>
      </w:r>
      <w:r>
        <w:t xml:space="preserve">Navigating the differences between federal (Canada) and provincial (Quebec) regulations can be time-consuming, particularly regarding intellectual property rights and data sovereignty.</w:t>
      </w:r>
    </w:p>
    <w:p>
      <w:pPr>
        <w:pStyle w:val="BodyText"/>
      </w:pPr>
      <w:r>
        <w:rPr>
          <w:bCs/>
          <w:b/>
        </w:rPr>
        <w:t xml:space="preserve">High Cost of Living:</w:t>
      </w:r>
      <w:r>
        <w:t xml:space="preserve"> </w:t>
      </w:r>
      <w:r>
        <w:t xml:space="preserve">Despite being more affordable than Toronto or Vancouver, Montreal’s rising housing costs impact the financial stability of early-career researchers. This has led to increased competition for tenure-track positions.</w:t>
      </w:r>
    </w:p>
    <w:p>
      <w:pPr>
        <w:pStyle w:val="BodyText"/>
      </w:pPr>
      <w:r>
        <w:rPr>
          <w:bCs/>
          <w:b/>
        </w:rPr>
        <w:t xml:space="preserve">Linguistic Integration:</w:t>
      </w:r>
      <w:r>
        <w:t xml:space="preserve"> </w:t>
      </w:r>
      <w:r>
        <w:t xml:space="preserve">For non-francophone researchers, integrating into the local academic community requires significant effort in learning French for administrative and social integration.</w:t>
      </w:r>
    </w:p>
    <w:bookmarkEnd w:id="35"/>
    <w:bookmarkStart w:id="37" w:name="vii.-conclusion"/>
    <w:p>
      <w:pPr>
        <w:pStyle w:val="Heading2"/>
      </w:pPr>
      <w:bookmarkStart w:id="36" w:name="conclusion"/>
      <w:bookmarkEnd w:id="36"/>
      <w:r>
        <w:t xml:space="preserve">VII. Conclusion</w:t>
      </w:r>
    </w:p>
    <w:p>
      <w:pPr>
        <w:pStyle w:val="FirstParagraph"/>
      </w:pPr>
      <w:r>
        <w:t xml:space="preserve">This Lab Report concludes that the role of an Academic Researcher in Montreal, Canada, is both prestigious and complex. It offers unparalleled access to funding, state-of-the-art facilities in AI and biomedicine, and a vibrant international community. However, it also demands resilience in navigating bilingual administrative systems and competitive funding landscapes.</w:t>
      </w:r>
    </w:p>
    <w:p>
      <w:pPr>
        <w:pStyle w:val="BodyText"/>
      </w:pPr>
      <w:r>
        <w:t xml:space="preserve">The city’s unique position as a bridge between North American innovation and European scientific traditions makes Montreal an attractive destination for researchers. Future policy recommendations should focus on simplifying cross-jurisdictional grant applications and providing enhanced linguistic support services for international Academic Researchers.</w:t>
      </w:r>
    </w:p>
    <w:bookmarkEnd w:id="37"/>
    <w:bookmarkStart w:id="39" w:name="viii.-recommendations"/>
    <w:p>
      <w:pPr>
        <w:pStyle w:val="Heading2"/>
      </w:pPr>
      <w:bookmarkStart w:id="38" w:name="recommendations"/>
      <w:bookmarkEnd w:id="38"/>
      <w:r>
        <w:t xml:space="preserve">VIII. Recommendations</w:t>
      </w:r>
    </w:p>
    <w:p>
      <w:pPr>
        <w:pStyle w:val="FirstParagraph"/>
      </w:pPr>
      <w:r>
        <w:rPr>
          <w:bCs/>
          <w:b/>
        </w:rPr>
        <w:t xml:space="preserve">Enhanced Mentorship Programs:</w:t>
      </w:r>
      <w:r>
        <w:t xml:space="preserve"> </w:t>
      </w:r>
      <w:r>
        <w:t xml:space="preserve">Universities should establish mentorship programs specifically designed to help new Academic Researchers navigate the dual federal-provincial funding systems.</w:t>
      </w:r>
    </w:p>
    <w:p>
      <w:pPr>
        <w:pStyle w:val="BodyText"/>
      </w:pPr>
      <w:r>
        <w:t xml:space="preserve">2. Integrated Linguistic Training: Offering subsidized French and English language courses tailored for scientific communication and administrative tasks.</w:t>
      </w:r>
    </w:p>
    <w:p>
      <w:pPr>
        <w:pStyle w:val="BodyText"/>
      </w:pPr>
      <w:r>
        <w:t xml:space="preserve">&lt;3. Increased Industry-Academia Liaison Offices: Strengthening offices that facilitate partnerships between researchers and Montreal-based biotech or AI firms to ensure financial sustainability beyond traditional grants.</w:t>
      </w:r>
    </w:p>
    <w:p>
      <w:pPr>
        <w:pStyle w:val="BodyText"/>
      </w:pPr>
      <w:r>
        <w:t xml:space="preserve">/ol&gt;</w:t>
      </w:r>
    </w:p>
    <w:bookmarkEnd w:id="39"/>
    <w:bookmarkStart w:id="41" w:name="ix.-references"/>
    <w:p>
      <w:pPr>
        <w:pStyle w:val="Heading2"/>
      </w:pPr>
      <w:bookmarkStart w:id="40" w:name="references"/>
      <w:bookmarkEnd w:id="40"/>
      <w:r>
        <w:t xml:space="preserve">IX. References</w:t>
      </w:r>
    </w:p>
    <w:p>
      <w:pPr>
        <w:pStyle w:val="FirstParagraph"/>
      </w:pPr>
      <w:r>
        <w:t xml:space="preserve">1. Canadian Institutes of Health Research (CIHR). "Guide to Grant Applications." 2023.</w:t>
      </w:r>
    </w:p>
    <w:p>
      <w:pPr>
        <w:pStyle w:val="BodyText"/>
      </w:pPr>
      <w:r>
        <w:t xml:space="preserve">2. Fonds de recherche du Québec – Santé (FRQS). "Annual Report on Research in Quebec." 2023.</w:t>
      </w:r>
    </w:p>
    <w:p>
      <w:pPr>
        <w:pStyle w:val="BodyText"/>
      </w:pPr>
      <w:r>
        <w:t xml:space="preserve">McGill University. "Faculty Handbook: Research and Teaching Mandates." Montreal, QC: McGill University Press, 2023.</w:t>
      </w:r>
    </w:p>
    <w:p>
      <w:pPr>
        <w:pStyle w:val="BodyText"/>
      </w:pPr>
      <w:r>
        <w:t xml:space="preserve">&lt;4. Université de Montréal. "Strategic Plan 2030: Internationalization and Innovation." Montreal, QC: UdeM Publications, 2023.</w:t>
      </w:r>
    </w:p>
    <w:p>
      <w:pPr>
        <w:pStyle w:val="BodyText"/>
      </w:pPr>
      <w:r>
        <w:t xml:space="preserve">&lt;5. Mila – Quebec AI Institute. "Impact Report: Collaborative Research Outcomes." Montreal, QC: Mila Inc., 2023.</w:t>
      </w:r>
    </w:p>
    <w:p>
      <w:pPr>
        <w:pStyle w:val="BodyText"/>
      </w:pPr>
      <w:r>
        <w:t xml:space="preserve">```</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 Canada, Montreal</dc:title>
  <dc:creator/>
  <dc:language>en</dc:language>
  <cp:keywords/>
  <dcterms:created xsi:type="dcterms:W3CDTF">2026-07-29T04:09:39Z</dcterms:created>
  <dcterms:modified xsi:type="dcterms:W3CDTF">2026-07-29T04:09:39Z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