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Canada</w:t>
      </w:r>
      <w:r>
        <w:t xml:space="preserve"> </w:t>
      </w:r>
      <w:r>
        <w:t xml:space="preserve">Toronto</w:t>
      </w:r>
    </w:p>
    <w:bookmarkStart w:id="35" w:name="laboratory-and-research-analysis-report"/>
    <w:p>
      <w:pPr>
        <w:pStyle w:val="Heading1"/>
      </w:pPr>
      <w:r>
        <w:t xml:space="preserve">Laboratory AND RESEARCH ANALYSIS REPORT</w:t>
      </w:r>
    </w:p>
    <w:p>
      <w:pPr>
        <w:pStyle w:val="FirstParagraph"/>
      </w:pPr>
      <w:r>
        <w:rPr>
          <w:bCs/>
          <w:b/>
        </w:rPr>
        <w:t xml:space="preserve">Subject:</w:t>
      </w:r>
      <w:r>
        <w:t xml:space="preserve"> </w:t>
      </w:r>
      <w:r>
        <w:t xml:space="preserve">Comprehensive Evaluation of Academic Researcher Profile</w:t>
      </w:r>
    </w:p>
    <w:p>
      <w:pPr>
        <w:pStyle w:val="BodyText"/>
      </w:pPr>
      <w:r>
        <w:rPr>
          <w:bCs/>
          <w:b/>
        </w:rPr>
        <w:t xml:space="preserve">Jurisdiction/Focus Area:</w:t>
      </w:r>
      <w:r>
        <w:t xml:space="preserve"> </w:t>
      </w:r>
      <w:r>
        <w:t xml:space="preserve">Canada, Toronto</w:t>
      </w:r>
    </w:p>
    <w:p>
      <w:pPr>
        <w:pStyle w:val="BodyText"/>
      </w:pPr>
      <w:r>
        <w:rPr>
          <w:bCs/>
          <w:b/>
        </w:rPr>
        <w:t xml:space="preserve">Date:</w:t>
      </w:r>
      <w:r>
        <w:t xml:space="preserve"> </w:t>
      </w:r>
      <w:r>
        <w:t xml:space="preserve">October 26, 2023</w:t>
      </w:r>
    </w:p>
    <w:p>
      <w:pPr>
        <w:pStyle w:val="BodyText"/>
      </w:pPr>
      <w:r>
        <w:rPr>
          <w:bCs/>
          <w:b/>
        </w:rPr>
        <w:t xml:space="preserve">Status:</w:t>
      </w:r>
      <w:r>
        <w:t xml:space="preserve"> </w:t>
      </w:r>
      <w:r>
        <w:t xml:space="preserve">Final Review Draft</w:t>
      </w:r>
    </w:p>
    <w:bookmarkStart w:id="20" w:name="executive-summary"/>
    <w:p>
      <w:pPr>
        <w:pStyle w:val="Heading2"/>
      </w:pPr>
      <w:r>
        <w:t xml:space="preserve">1. Executive Summary and Objectives</w:t>
      </w:r>
    </w:p>
    <w:p>
      <w:pPr>
        <w:pStyle w:val="FirstParagraph"/>
      </w:pPr>
      <w:r>
        <w:t xml:space="preserve">The purpose of this document is to provide a rigorous, structured analysis of the professional standing, research output, and institutional integration of an Academic Researcher operating within the specific ecosystem of Toronto, Canada. This report functions as a critical "lab" for evaluating human capital in scientific and academic domains. Given Toronto's status as a global hub for biotechnology, artificial intelligence (AI), and social sciences, the criteria for assessment are exceptionally high.</w:t>
      </w:r>
    </w:p>
    <w:p>
      <w:pPr>
        <w:pStyle w:val="BodyText"/>
      </w:pPr>
      <w:r>
        <w:t xml:space="preserve">This Lab Report aims to dissect the methodologies employed by the researcher, evaluate their contribution to knowledge production in Canada, and assess their alignment with Toronto’s strategic research priorities. The term "Lab" here is utilized metaphorically and practically; it refers to both physical laboratory environments where experimental data is generated and the institutional "laboratories" of thought within universities such as the University of Toronto (UofT), York University, or Ryerson/Toronto Metropolitan University.</w:t>
      </w:r>
    </w:p>
    <w:bookmarkEnd w:id="20"/>
    <w:bookmarkStart w:id="22" w:name="research-context"/>
    <w:p>
      <w:pPr>
        <w:pStyle w:val="Heading2"/>
      </w:pPr>
      <w:r>
        <w:t xml:space="preserve">2. Contextual Framework: The Canadian Academic Landscape</w:t>
      </w:r>
    </w:p>
    <w:p>
      <w:pPr>
        <w:pStyle w:val="FirstParagraph"/>
      </w:pPr>
      <w:r>
        <w:t xml:space="preserve">To understand the weight of an Academic Researcher's profile, one must first contextualize it within Canada’s broader scientific infrastructure. Canada is a nation built on the strength of its research-intensive universities and federal funding agencies, such as the Natural Sciences and Engineering Research Council (NSERC), the Social Sciences and Humanities Research Council (SSHRC), and the Canadian Institutes of Health Research (CIHR).</w:t>
      </w:r>
    </w:p>
    <w:p>
      <w:pPr>
        <w:pStyle w:val="BodyText"/>
      </w:pPr>
      <w:r>
        <w:t xml:space="preserve">Toronto, as Ontario's capital, serves as the primary engine for this research activity. The city hosts a dense cluster of innovation hubs, including MaRS Discovery District and Vector Institute. Therefore, an Academic Researcher in Toronto is not merely an educator but a node in a complex network of industry-academia-government partnerships. This report evaluates how effectively the researcher navigates this tripartite relationship.</w:t>
      </w:r>
    </w:p>
    <w:bookmarkStart w:id="21" w:name="the-role-of-funding-and-grants"/>
    <w:p>
      <w:pPr>
        <w:pStyle w:val="Heading3"/>
      </w:pPr>
      <w:r>
        <w:t xml:space="preserve">2.1 The Role of Funding and Grants</w:t>
      </w:r>
    </w:p>
    <w:p>
      <w:pPr>
        <w:pStyle w:val="FirstParagraph"/>
      </w:pPr>
      <w:r>
        <w:t xml:space="preserve">In the Canadian context, research is heavily dependent on competitive grant funding. A successful Academic Researcher must demonstrate proficiency in securing funds from both federal bodies and private sector partners. This Lab Report examines the researcher’s grant history as a primary indicator of peer review success and project viability.</w:t>
      </w:r>
    </w:p>
    <w:bookmarkEnd w:id="21"/>
    <w:bookmarkEnd w:id="22"/>
    <w:bookmarkStart w:id="26" w:name="methodology"/>
    <w:p>
      <w:pPr>
        <w:pStyle w:val="Heading2"/>
      </w:pPr>
      <w:r>
        <w:t xml:space="preserve">3. Methodological Evaluation</w:t>
      </w:r>
    </w:p>
    <w:p>
      <w:pPr>
        <w:pStyle w:val="FirstParagraph"/>
      </w:pPr>
      <w:r>
        <w:t xml:space="preserve">This section details the "Lab" aspect of the report—how research is conducted, validated, and disseminated. The evaluation criteria are divided into three core pillars: empirical rigor, collaborative synergy, and ethical compliance.</w:t>
      </w:r>
    </w:p>
    <w:bookmarkStart w:id="23" w:name="empirical-rigor-and-laboratory-standards"/>
    <w:p>
      <w:pPr>
        <w:pStyle w:val="Heading3"/>
      </w:pPr>
      <w:r>
        <w:t xml:space="preserve">3.1 Empirical Rigor and Laboratory Standards</w:t>
      </w:r>
    </w:p>
    <w:p>
      <w:pPr>
        <w:pStyle w:val="FirstParagraph"/>
      </w:pPr>
      <w:r>
        <w:t xml:space="preserve">For researchers engaged in STEM fields (Science, Technology, Engineering, Mathematics), the physical lab is central. The report assesses:</w:t>
      </w:r>
    </w:p>
    <w:p>
      <w:pPr>
        <w:numPr>
          <w:ilvl w:val="0"/>
          <w:numId w:val="1001"/>
        </w:numPr>
        <w:pStyle w:val="Compact"/>
      </w:pPr>
      <w:r>
        <w:rPr>
          <w:bCs/>
          <w:b/>
        </w:rPr>
        <w:t xml:space="preserve">Data Integrity:</w:t>
      </w:r>
      <w:r>
        <w:t xml:space="preserve"> </w:t>
      </w:r>
      <w:r>
        <w:t xml:space="preserve">Adherence to Canadian data protection laws (PIPEDA) and FAIR principles (Findable, Accessible, Interoperable, Reusable).</w:t>
      </w:r>
    </w:p>
    <w:p>
      <w:pPr>
        <w:numPr>
          <w:ilvl w:val="0"/>
          <w:numId w:val="1001"/>
        </w:numPr>
        <w:pStyle w:val="Compact"/>
      </w:pPr>
      <w:r>
        <w:rPr>
          <w:bCs/>
          <w:b/>
        </w:rPr>
        <w:t xml:space="preserve">Reproducibility:</w:t>
      </w:r>
      <w:r>
        <w:t xml:space="preserve"> </w:t>
      </w:r>
      <w:r>
        <w:t xml:space="preserve">The ability of other institutions in Toronto or globally to replicate findings. This is a critical metric in the current climate of scientific reproducibility crises.</w:t>
      </w:r>
    </w:p>
    <w:p>
      <w:pPr>
        <w:numPr>
          <w:ilvl w:val="0"/>
          <w:numId w:val="1001"/>
        </w:numPr>
        <w:pStyle w:val="Compact"/>
      </w:pPr>
      <w:r>
        <w:rPr>
          <w:bCs/>
          <w:b/>
        </w:rPr>
        <w:t xml:space="preserve">Safety Compliance:</w:t>
      </w:r>
      <w:r>
        <w:t xml:space="preserve"> </w:t>
      </w:r>
      <w:r>
        <w:t xml:space="preserve">Adherence to Canadian Occupational Health and Safety regulations within laboratory settings.</w:t>
      </w:r>
    </w:p>
    <w:bookmarkEnd w:id="23"/>
    <w:bookmarkStart w:id="24" w:name="interdisciplinary-collaboration"/>
    <w:p>
      <w:pPr>
        <w:pStyle w:val="Heading3"/>
      </w:pPr>
      <w:r>
        <w:t xml:space="preserve">3.2 Interdisciplinary Collaboration</w:t>
      </w:r>
    </w:p>
    <w:p>
      <w:pPr>
        <w:pStyle w:val="FirstParagraph"/>
      </w:pPr>
      <w:r>
        <w:t xml:space="preserve">Toronto’s research ecosystem is defined by its interdisciplinary nature. The Academic Researcher must demonstrate the ability to bridge silos between biology, computer science, ethics, and policy. This report analyzes co-authorship networks and cross-institutional projects to determine if the researcher contributes to a holistic understanding of complex problems.</w:t>
      </w:r>
    </w:p>
    <w:bookmarkEnd w:id="24"/>
    <w:bookmarkStart w:id="25" w:name="ethical-oversight"/>
    <w:p>
      <w:pPr>
        <w:pStyle w:val="Heading3"/>
      </w:pPr>
      <w:r>
        <w:t xml:space="preserve">3.3 Ethical Oversight</w:t>
      </w:r>
    </w:p>
    <w:p>
      <w:pPr>
        <w:pStyle w:val="FirstParagraph"/>
      </w:pPr>
      <w:r>
        <w:t xml:space="preserve">All research conducted by an Academic Researcher in Canada is subject to review by Research Ethics Boards (REBs). This section verifies that all human subjects research, animal studies, or data handling practices comply with the Tri-Council Policy Statement: Ethical Conduct for Research Involving Humans (TCPS 2).</w:t>
      </w:r>
    </w:p>
    <w:bookmarkEnd w:id="25"/>
    <w:bookmarkEnd w:id="26"/>
    <w:bookmarkStart w:id="29" w:name="output-analysis"/>
    <w:p>
      <w:pPr>
        <w:pStyle w:val="Heading2"/>
      </w:pPr>
      <w:r>
        <w:t xml:space="preserve">4. Analysis of Academic Outputs</w:t>
      </w:r>
    </w:p>
    <w:p>
      <w:pPr>
        <w:pStyle w:val="FirstParagraph"/>
      </w:pPr>
      <w:r>
        <w:t xml:space="preserve">The tangible outputs of the researcher are cataloged and evaluated below. These metrics serve as the empirical data points for this Lab Report.</w:t>
      </w:r>
    </w:p>
    <w:bookmarkStart w:id="27" w:name="publications"/>
    <w:p>
      <w:pPr>
        <w:pStyle w:val="Heading3"/>
      </w:pPr>
      <w:r>
        <w:t xml:space="preserve">4.1 Publications</w:t>
      </w:r>
    </w:p>
    <w:p>
      <w:pPr>
        <w:pStyle w:val="FirstParagraph"/>
      </w:pPr>
      <w:r>
        <w:t xml:space="preserve">The primary output is peer-reviewed literature. The report distinguishes between:</w:t>
      </w:r>
    </w:p>
    <w:p>
      <w:pPr>
        <w:numPr>
          <w:ilvl w:val="0"/>
          <w:numId w:val="1002"/>
        </w:numPr>
        <w:pStyle w:val="Compact"/>
      </w:pPr>
      <w:r>
        <w:rPr>
          <w:bCs/>
          <w:b/>
        </w:rPr>
        <w:t xml:space="preserve">Journals:</w:t>
      </w:r>
      <w:r>
        <w:t xml:space="preserve"> </w:t>
      </w:r>
      <w:r>
        <w:t xml:space="preserve">Publication in high-impact factor journals indexed in Web of Science or Scopus.</w:t>
      </w:r>
    </w:p>
    <w:p>
      <w:pPr>
        <w:numPr>
          <w:ilvl w:val="0"/>
          <w:numId w:val="1002"/>
        </w:numPr>
        <w:pStyle w:val="Compact"/>
      </w:pPr>
      <w:r>
        <w:rPr>
          <w:bCs/>
          <w:b/>
        </w:rPr>
        <w:t xml:space="preserve">Citations:</w:t>
      </w:r>
      <w:r>
        <w:t xml:space="preserve"> </w:t>
      </w:r>
      <w:r>
        <w:t xml:space="preserve">H-index and i10-index scores relative to national averages for Canadian researchers in similar disciplines.</w:t>
      </w:r>
    </w:p>
    <w:p>
      <w:pPr>
        <w:numPr>
          <w:ilvl w:val="0"/>
          <w:numId w:val="1002"/>
        </w:numPr>
        <w:pStyle w:val="Compact"/>
      </w:pPr>
      <w:r>
        <w:rPr>
          <w:bCs/>
          <w:b/>
        </w:rPr>
        <w:t xml:space="preserve">Boldness:</w:t>
      </w:r>
      <w:r>
        <w:t xml:space="preserve"> </w:t>
      </w:r>
      <w:r>
        <w:t xml:space="preserve">The tendency to publish controversial or paradigm-shifting work, which is often encouraged in Toronto’s vibrant academic community.</w:t>
      </w:r>
    </w:p>
    <w:bookmarkEnd w:id="27"/>
    <w:bookmarkStart w:id="28" w:name="knowledge-translation-and-impact"/>
    <w:p>
      <w:pPr>
        <w:pStyle w:val="Heading3"/>
      </w:pPr>
      <w:r>
        <w:t xml:space="preserve">4.2 Knowledge Translation and Impact</w:t>
      </w:r>
    </w:p>
    <w:p>
      <w:pPr>
        <w:pStyle w:val="FirstParagraph"/>
      </w:pPr>
      <w:r>
        <w:t xml:space="preserve">In Canada, there is a strong emphasis on "Knowledge Mobilization" (KMb). It is not enough to publish; the research must impact society. This section evaluates:</w:t>
      </w:r>
    </w:p>
    <w:p>
      <w:pPr>
        <w:numPr>
          <w:ilvl w:val="0"/>
          <w:numId w:val="1003"/>
        </w:numPr>
        <w:pStyle w:val="Compact"/>
      </w:pPr>
      <w:r>
        <w:rPr>
          <w:bCs/>
          <w:b/>
        </w:rPr>
        <w:t xml:space="preserve">Patient/Community Engagement:</w:t>
      </w:r>
      <w:r>
        <w:t xml:space="preserve"> </w:t>
      </w:r>
      <w:r>
        <w:t xml:space="preserve">How findings are communicated to non-academic stakeholders in Toronto.</w:t>
      </w:r>
    </w:p>
    <w:p>
      <w:pPr>
        <w:numPr>
          <w:ilvl w:val="0"/>
          <w:numId w:val="1003"/>
        </w:numPr>
        <w:pStyle w:val="Compact"/>
      </w:pPr>
      <w:r>
        <w:t xml:space="preserve">Policy Influence:&gt; Documentation of how research has informed provincial (Ontario) or federal policy decisions.</w:t>
      </w:r>
    </w:p>
    <w:bookmarkEnd w:id="28"/>
    <w:bookmarkEnd w:id="29"/>
    <w:bookmarkStart w:id="32" w:name="regional-impact"/>
    <w:p>
      <w:pPr>
        <w:pStyle w:val="Heading2"/>
      </w:pPr>
      <w:r>
        <w:t xml:space="preserve">5. Regional Impact: The Toronto Advantage</w:t>
      </w:r>
    </w:p>
    <w:p>
      <w:pPr>
        <w:pStyle w:val="FirstParagraph"/>
      </w:pPr>
      <w:r>
        <w:t xml:space="preserve">Toronto offers unique advantages to Academic Researchers, including access to diverse populations for clinical trials, a robust tech sector for AI integration, and strong international connections. This Lab Report analyzes how the researcher leverages these specific local assets.</w:t>
      </w:r>
    </w:p>
    <w:bookmarkStart w:id="30" w:name="industry-partnerships"/>
    <w:p>
      <w:pPr>
        <w:pStyle w:val="Heading3"/>
      </w:pPr>
      <w:r>
        <w:t xml:space="preserve">5.1 Industry Partnerships</w:t>
      </w:r>
    </w:p>
    <w:p>
      <w:pPr>
        <w:pStyle w:val="FirstParagraph"/>
      </w:pPr>
      <w:r>
        <w:t xml:space="preserve">Toronto is home to major pharmaceutical companies (e.g., Pfizer, Sanofi) and tech giants (e.g., Google, Microsoft). The report assesses the depth of industry partnerships. Are these superficial collaborations, or do they involve deep co-development of intellectual property? Strong industrial ties are a hallmark of successful Canadian research centers.</w:t>
      </w:r>
    </w:p>
    <w:bookmarkEnd w:id="30"/>
    <w:bookmarkStart w:id="31" w:name="talent-development"/>
    <w:p>
      <w:pPr>
        <w:pStyle w:val="Heading3"/>
      </w:pPr>
      <w:r>
        <w:t xml:space="preserve">5.2 Talent Development</w:t>
      </w:r>
    </w:p>
    <w:p>
      <w:pPr>
        <w:pStyle w:val="FirstParagraph"/>
      </w:pPr>
      <w:r>
        <w:t xml:space="preserve">A key role of an Academic Researcher is mentorship. The report evaluates the researcher’s success in training graduate students (MSc, PhD) and post-doctoral fellows. High placement rates of former students into industry or academia are a significant positive indicator.</w:t>
      </w:r>
    </w:p>
    <w:bookmarkEnd w:id="31"/>
    <w:bookmarkEnd w:id="32"/>
    <w:bookmarkStart w:id="33" w:name="challenges"/>
    <w:p>
      <w:pPr>
        <w:pStyle w:val="Heading2"/>
      </w:pPr>
      <w:r>
        <w:t xml:space="preserve">6. Identified Challenges and Areas for Improvement</w:t>
      </w:r>
    </w:p>
    <w:p>
      <w:pPr>
        <w:pStyle w:val="FirstParagraph"/>
      </w:pPr>
      <w:r>
        <w:t xml:space="preserve">No Lab Report is complete without an analysis of limitations. Common challenges faced by Academic Researchers in Toronto include:</w:t>
      </w:r>
    </w:p>
    <w:p>
      <w:pPr>
        <w:numPr>
          <w:ilvl w:val="0"/>
          <w:numId w:val="1004"/>
        </w:numPr>
        <w:pStyle w:val="Compact"/>
      </w:pPr>
      <w:r>
        <w:rPr>
          <w:bCs/>
          <w:b/>
        </w:rPr>
        <w:t xml:space="preserve">Funding Volatility:</w:t>
      </w:r>
      <w:r>
        <w:t xml:space="preserve"> </w:t>
      </w:r>
      <w:r>
        <w:t xml:space="preserve">Changes in federal government priorities can disrupt long-term projects.</w:t>
      </w:r>
    </w:p>
    <w:p>
      <w:pPr>
        <w:numPr>
          <w:ilvl w:val="0"/>
          <w:numId w:val="1004"/>
        </w:numPr>
        <w:pStyle w:val="Compact"/>
      </w:pPr>
      <w:r>
        <w:rPr>
          <w:bCs/>
          <w:b/>
        </w:rPr>
        <w:t xml:space="preserve">Bureaucratic Hurdles:</w:t>
      </w:r>
      <w:r>
        <w:t xml:space="preserve"> </w:t>
      </w:r>
      <w:r>
        <w:t xml:space="preserve">Navigating multi-institutional ethics reviews can be time-consuming.</w:t>
      </w:r>
    </w:p>
    <w:p>
      <w:pPr>
        <w:numPr>
          <w:ilvl w:val="0"/>
          <w:numId w:val="1004"/>
        </w:numPr>
        <w:pStyle w:val="Compact"/>
      </w:pPr>
      <w:r>
        <w:rPr>
          <w:bCs/>
          <w:b/>
        </w:rPr>
        <w:t xml:space="preserve">Competition:</w:t>
      </w:r>
      <w:r>
        <w:t xml:space="preserve">&gt; Toronto’s academic market is highly competitive, requiring constant innovation to secure tenure-track positions or leadership roles.</w:t>
      </w:r>
    </w:p>
    <w:bookmarkEnd w:id="33"/>
    <w:bookmarkStart w:id="34" w:name="recommendations"/>
    <w:p>
      <w:pPr>
        <w:pStyle w:val="Heading2"/>
      </w:pPr>
      <w:r>
        <w:t xml:space="preserve">7. Recommendations and Conclusion</w:t>
      </w:r>
    </w:p>
    <w:p>
      <w:pPr>
        <w:pStyle w:val="FirstParagraph"/>
      </w:pPr>
      <w:r>
        <w:t xml:space="preserve">In conclusion, this Lab Report on the Academic Researcher profile within Canada Toronto indicates that the subject operates within a dynamic, high-stakes environment. To maintain and enhance their standing, the researcher is advised to:</w:t>
      </w:r>
    </w:p>
    <w:p>
      <w:pPr>
        <w:numPr>
          <w:ilvl w:val="0"/>
          <w:numId w:val="1005"/>
        </w:numPr>
        <w:pStyle w:val="Compact"/>
      </w:pPr>
      <w:r>
        <w:rPr>
          <w:bCs/>
          <w:b/>
        </w:rPr>
        <w:t xml:space="preserve">Expand Interdisciplinary Networks:</w:t>
      </w:r>
      <w:r>
        <w:t xml:space="preserve">&gt; Actively seek partnerships beyond their immediate department.</w:t>
      </w:r>
    </w:p>
    <w:p>
      <w:pPr>
        <w:numPr>
          <w:ilvl w:val="0"/>
          <w:numId w:val="1005"/>
        </w:numPr>
        <w:pStyle w:val="Compact"/>
      </w:pPr>
      <w:r>
        <w:rPr>
          <w:bCs/>
          <w:b/>
        </w:rPr>
        <w:t xml:space="preserve">Enhance Knowledge Translation:</w:t>
      </w:r>
      <w:r>
        <w:t xml:space="preserve">&gt; Invest in digital platforms and community engagement strategies to broaden the impact of their work.</w:t>
      </w:r>
    </w:p>
    <w:p>
      <w:pPr>
        <w:numPr>
          <w:ilvl w:val="0"/>
          <w:numId w:val="1005"/>
        </w:numPr>
        <w:pStyle w:val="Compact"/>
      </w:pPr>
      <w:r>
        <w:rPr>
          <w:bCs/>
          <w:b/>
        </w:rPr>
        <w:t xml:space="preserve">Leverage Toronto’s Ecosystem:</w:t>
      </w:r>
      <w:r>
        <w:t xml:space="preserve">&gt; Utilize local innovation hubs like MaRS for commercializing research outcomes.</w:t>
      </w:r>
    </w:p>
    <w:p>
      <w:pPr>
        <w:numPr>
          <w:ilvl w:val="0"/>
          <w:numId w:val="1005"/>
        </w:numPr>
        <w:pStyle w:val="Compact"/>
      </w:pPr>
      <w:r>
        <w:rPr>
          <w:bCs/>
          <w:b/>
        </w:rPr>
        <w:t xml:space="preserve">Maintain Rigorous Ethics:</w:t>
      </w:r>
      <w:r>
        <w:t xml:space="preserve">&gt; Continuously update training in TCPS 2 compliance to ensure all projects remain ethically sound.</w:t>
      </w:r>
    </w:p>
    <w:p>
      <w:pPr>
        <w:pStyle w:val="FirstParagraph"/>
      </w:pPr>
      <w:r>
        <w:t xml:space="preserve">The integration of an Academic Researcher into the Toronto landscape is not merely a job placement; it is a strategic alignment with one of Canada’s most vital intellectual centers. By adhering to the standards outlined in this Lab Report, researchers can ensure they contribute meaningfully to Canada’s global reputation for scientific and academic excellence.</w:t>
      </w:r>
    </w:p>
    <w:p>
      <w:pPr>
        <w:pStyle w:val="BodyText"/>
      </w:pPr>
      <w:r>
        <w:rPr>
          <w:bCs/>
          <w:b/>
        </w:rPr>
        <w:t xml:space="preserve">Prepared By:</w:t>
      </w:r>
    </w:p>
    <w:p>
      <w:pPr>
        <w:pStyle w:val="BodyText"/>
      </w:pPr>
      <w:r>
        <w:t xml:space="preserve">Senior Research Analyst</w:t>
      </w:r>
    </w:p>
    <w:p>
      <w:pPr>
        <w:pStyle w:val="BodyText"/>
      </w:pPr>
      <w:r>
        <w:t xml:space="preserve">Evaluation Division</w:t>
      </w:r>
    </w:p>
    <w:p>
      <w:pPr>
        <w:pStyle w:val="BodyText"/>
      </w:pPr>
      <w:r>
        <w:br/>
      </w:r>
      <w:r>
        <w:br/>
      </w:r>
    </w:p>
    <w:p>
      <w:r>
        <w:pict>
          <v:rect style="width:0;height:1.5pt" o:hralign="center" o:hrstd="t" o:hr="t"/>
        </w:pict>
      </w:r>
    </w:p>
    <w:p>
      <w:pPr>
        <w:pStyle w:val="FirstParagraph"/>
      </w:pPr>
      <w:r>
        <w:rPr>
          <w:bCs/>
          <w:b/>
        </w:rPr>
        <w:t xml:space="preserve">Date: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Canada Toronto</dc:title>
  <dc:creator/>
  <dc:language>en</dc:language>
  <cp:keywords/>
  <dcterms:created xsi:type="dcterms:W3CDTF">2026-07-29T17:58:36Z</dcterms:created>
  <dcterms:modified xsi:type="dcterms:W3CDTF">2026-07-29T17:58:36Z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