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China</w:t>
      </w:r>
      <w:r>
        <w:t xml:space="preserve"> </w:t>
      </w:r>
      <w:r>
        <w:t xml:space="preserve">Shanghai</w:t>
      </w:r>
    </w:p>
    <w:bookmarkStart w:id="27" w:name="laboratory-and-operational-status-report"/>
    <w:p>
      <w:pPr>
        <w:pStyle w:val="Heading1"/>
      </w:pPr>
      <w:r>
        <w:t xml:space="preserve">Laboratory and Operational Status Report</w:t>
      </w:r>
    </w:p>
    <w:p>
      <w:pPr>
        <w:pStyle w:val="FirstParagraph"/>
      </w:pPr>
      <w:r>
        <w:rPr>
          <w:bCs/>
          <w:b/>
        </w:rPr>
        <w:t xml:space="preserve">Date:</w:t>
      </w:r>
      <w:r>
        <w:t xml:space="preserve"> </w:t>
      </w:r>
      <w:r>
        <w:t xml:space="preserve">October 24, 2023</w:t>
      </w:r>
      <w:r>
        <w:br/>
      </w:r>
      <w:r>
        <w:rPr>
          <w:bCs/>
          <w:b/>
        </w:rPr>
        <w:t xml:space="preserve">To: Department of International Relations &amp; Scientific Affairs</w:t>
      </w:r>
      <w:r>
        <w:br/>
      </w:r>
    </w:p>
    <w:bookmarkStart w:id="20" w:name="executive-summary"/>
    <w:p>
      <w:pPr>
        <w:pStyle w:val="Heading2"/>
      </w:pPr>
      <w:r>
        <w:t xml:space="preserve">1. Executive Summary</w:t>
      </w:r>
    </w:p>
    <w:p>
      <w:pPr>
        <w:pStyle w:val="FirstParagraph"/>
      </w:pPr>
      <w:r>
        <w:t xml:space="preserve">The primary objective of this laboratory report is to detail the operational framework, compliance standards, and research efficacy associated with the deployment of an Academic Researcher within the high-density scientific hub of China Shanghai. This document serves as a comprehensive record for institutional archives and regulatory bodies in both domestic (China) and international jurisdictions. The integration of rigorous academic protocols with the specific socio-technical environment of Shanghai requires a nuanced understanding of local research infrastructure, intellectual property regulations, and cross-cultural collaboration dynamics. This report confirms that the Academic Researcher has successfully initiated their tenure at designated facilities within China Shanghai, adhering to all established safety and ethical guidelines while contributing to ongoing multinational scientific initiatives.</w:t>
      </w:r>
    </w:p>
    <w:bookmarkEnd w:id="20"/>
    <w:bookmarkStart w:id="21" w:name="introduction-and-contextual-background"/>
    <w:p>
      <w:pPr>
        <w:pStyle w:val="Heading2"/>
      </w:pPr>
      <w:r>
        <w:t xml:space="preserve">2. Introduction and Contextual Background</w:t>
      </w:r>
    </w:p>
    <w:p>
      <w:pPr>
        <w:pStyle w:val="FirstParagraph"/>
      </w:pPr>
      <w:r>
        <w:rPr>
          <w:bCs/>
          <w:b/>
        </w:rPr>
        <w:t xml:space="preserve">The Role of the Academic Researcher in Global Science</w:t>
      </w:r>
      <w:r>
        <w:br/>
      </w:r>
      <w:r>
        <w:t xml:space="preserve">In the contemporary landscape of global science, the position of an Academic Researcher is pivotal in bridging theoretical frameworks with practical application. This report specifically addresses a tenure located within China Shanghai, a city that has rapidly emerged as one of Asia’s premier centers for innovation, biotechnology, and advanced materials engineering. The choice of location is strategic; China Shanghai offers unparalleled access to state-of-the-art laboratories, extensive funding mechanisms through the Ministry of Science and Technology (MOST), and a vibrant ecosystem of collaborative universities such as Fudan University and Shanghai Jiao Tong University.</w:t>
      </w:r>
      <w:r>
        <w:t xml:space="preserve"> </w:t>
      </w:r>
      <w:r>
        <w:rPr>
          <w:bCs/>
          <w:b/>
        </w:rPr>
        <w:t xml:space="preserve">The Significance of the Location: China Shanghai</w:t>
      </w:r>
      <w:r>
        <w:br/>
      </w:r>
      <w:r>
        <w:t xml:space="preserve">The laboratory operations detailed herein are situated in China Shanghai to leverage specific regional advantages. The Pudong New Area, home to numerous high-tech zones, provides the Academic Researcher with proximity to industry leaders and research institutes focused on AI, genomics, and renewable energy. However operating within this jurisdiction requires strict adherence to local regulations regarding data security (such as the Personal Information Protection Law), customs procedures for equipment importation in Shanghai port facilities, and environmental safety standards unique to densely populated urban industrial zones. This report documents how these local constraints are managed without compromising the integrity of international academic freedom or collaborative goals.</w:t>
      </w:r>
    </w:p>
    <w:bookmarkEnd w:id="21"/>
    <w:bookmarkStart w:id="22" w:name="methodology-and-laboratory-procedures"/>
    <w:p>
      <w:pPr>
        <w:pStyle w:val="Heading2"/>
      </w:pPr>
      <w:r>
        <w:t xml:space="preserve">3. Methodology and Laboratory Procedures</w:t>
      </w:r>
    </w:p>
    <w:p>
      <w:pPr>
        <w:pStyle w:val="FirstParagraph"/>
      </w:pPr>
      <w:r>
        <w:rPr>
          <w:bCs/>
          <w:b/>
        </w:rPr>
        <w:t xml:space="preserve">A. Facility Utilization and Equipment Calibration</w:t>
      </w:r>
      <w:r>
        <w:br/>
      </w:r>
      <w:r>
        <w:t xml:space="preserve">The Academic Researcher utilizes shared core facilities in China Shanghai, specifically high-throughput sequencing units and electron microscopy suites available at the partnering institution. All equipment usage follows a dual-protocol system: international ISO standards for laboratory safety combined with specific Chinese national standards (GB/T) for radiation and biohazard containment. Daily logs are maintained in both English and Mandarin to ensure seamless communication with local technical support staff, facilitating rapid troubleshooting of instrumentation issues within the Shanghai time zone (CST).</w:t>
      </w:r>
      <w:r>
        <w:t xml:space="preserve"> </w:t>
      </w:r>
      <w:r>
        <w:rPr>
          <w:bCs/>
          <w:b/>
        </w:rPr>
        <w:t xml:space="preserve">B. Data Management and Intellectual Property</w:t>
      </w:r>
      <w:r>
        <w:br/>
      </w:r>
      <w:r>
        <w:t xml:space="preserve">Given the sensitive nature of academic research, data governance is a critical component of this laboratory report. All experimental data generated in China Shanghai is stored on encrypted servers compliant with both GDPR and China’s Cybersecurity Law. The Academic Researcher has implemented a tiered access protocol where raw data remains physically located within the designated secure server rooms in Shanghai, ensuring compliance with national security directives regarding strategic technologies. Intellectual property rights are clearly delineated through prior bilateral agreements, ensuring that discoveries made in collaboration with local partners are attributed correctly and protected under international patent laws.</w:t>
      </w:r>
    </w:p>
    <w:bookmarkEnd w:id="22"/>
    <w:bookmarkStart w:id="23" w:name="observations-and-findings"/>
    <w:p>
      <w:pPr>
        <w:pStyle w:val="Heading2"/>
      </w:pPr>
      <w:r>
        <w:t xml:space="preserve">4. Observations and Findings</w:t>
      </w:r>
    </w:p>
    <w:p>
      <w:pPr>
        <w:pStyle w:val="FirstParagraph"/>
      </w:pPr>
      <w:r>
        <w:rPr>
          <w:bCs/>
          <w:b/>
        </w:rPr>
        <w:t xml:space="preserve">A. Collaborative Synergies</w:t>
      </w:r>
      <w:r>
        <w:br/>
      </w:r>
      <w:r>
        <w:t xml:space="preserve">Preliminary observations indicate a high level of synergy between the visiting Academic Researcher and their counterparts in China Shanghai. The interdisciplinary nature of the local research community has facilitated unexpected breakthroughs in material synthesis, particularly regarding carbon nanotube applications. Regular joint seminars held within the Shanghai research park have fostered an environment of open inquiry, demonstrating that language barriers can be effectively mitigated through standardized scientific terminology and digital translation tools.</w:t>
      </w:r>
      <w:r>
        <w:t xml:space="preserve"> </w:t>
      </w:r>
      <w:r>
        <w:rPr>
          <w:bCs/>
          <w:b/>
        </w:rPr>
        <w:t xml:space="preserve">B. Operational Efficiency</w:t>
      </w:r>
      <w:r>
        <w:br/>
      </w:r>
      <w:r>
        <w:t xml:space="preserve">The laboratory workflow in China Shanghai has proven to be highly efficient due to the centralized nature of resource allocation. The Academic Researcher reports reduced downtime for equipment maintenance compared to previous tenure locations in Europe, attributed to the proactive maintenance schedules enforced by local facility managers. However, logistical delays associated with customs clearance for specialized reagents imported into Shanghai remain a challenge, requiring advance planning of at least four weeks for non-stock items.</w:t>
      </w:r>
    </w:p>
    <w:bookmarkEnd w:id="23"/>
    <w:bookmarkStart w:id="24" w:name="challenges-and-mitigation-strategies"/>
    <w:p>
      <w:pPr>
        <w:pStyle w:val="Heading2"/>
      </w:pPr>
      <w:r>
        <w:t xml:space="preserve">5. Challenges and Mitigation Strategies</w:t>
      </w:r>
    </w:p>
    <w:p>
      <w:pPr>
        <w:pStyle w:val="FirstParagraph"/>
      </w:pPr>
      <w:r>
        <w:t xml:space="preserve">While the integration into the China Shanghai scientific community has been largely successful, certain challenges persist. Regulatory compliance regarding data export constitutes a significant administrative burden. To mitigate this, the Academic Researcher has established a dedicated liaison office within Shanghai to handle all paperwork related to cross-border data transfer approvals. Furthermore, cultural nuances in academic hierarchy require careful navigation; the Academic Researcher actively participates in local networking events and adheres to customary business etiquette, thereby building trust and rapport with senior faculty members and laboratory directors.</w:t>
      </w:r>
    </w:p>
    <w:bookmarkEnd w:id="24"/>
    <w:bookmarkStart w:id="25" w:name="conclusion"/>
    <w:p>
      <w:pPr>
        <w:pStyle w:val="Heading2"/>
      </w:pPr>
      <w:r>
        <w:t xml:space="preserve">6. Conclusion</w:t>
      </w:r>
    </w:p>
    <w:p>
      <w:pPr>
        <w:pStyle w:val="FirstParagraph"/>
      </w:pPr>
      <w:r>
        <w:t xml:space="preserve">This laboratory report concludes that the deployment of an Academic Researcher in China Shanghai represents a highly successful strategic initiative for our institution. The location offers unique advantages in terms of technological infrastructure, funding availability, and collaborative potential. By adhering to strict ethical guidelines and respecting local regulatory frameworks specific to China Shanghai, the Academic Researcher has established a robust foundation for long-term scientific contribution. The findings documented herein underscore the importance of localized adaptation within global academic research endeavors.</w:t>
      </w:r>
    </w:p>
    <w:bookmarkEnd w:id="25"/>
    <w:bookmarkStart w:id="26" w:name="recommendations"/>
    <w:p>
      <w:pPr>
        <w:pStyle w:val="Heading2"/>
      </w:pPr>
      <w:r>
        <w:t xml:space="preserve">7. Recommendations</w:t>
      </w:r>
    </w:p>
    <w:p>
      <w:pPr>
        <w:pStyle w:val="FirstParagraph"/>
      </w:pPr>
      <w:r>
        <w:t xml:space="preserve">Based on these observations, it is recommended that:</w:t>
      </w:r>
      <w:r>
        <w:t xml:space="preserve"> </w:t>
      </w:r>
      <w:r>
        <w:t xml:space="preserve">1. Future contracts for Academic Researchers include mandatory pre-departure training on China’s specific intellectual property and data security laws.</w:t>
      </w:r>
      <w:r>
        <w:t xml:space="preserve"> </w:t>
      </w:r>
      <w:r>
        <w:t xml:space="preserve">2. The institution expand its partnership network within the Zhangjiang Hi-Tech Park in Shanghai to facilitate smoother equipment procurement processes.</w:t>
      </w:r>
      <w:r>
        <w:t xml:space="preserve"> </w:t>
      </w:r>
      <w:r>
        <w:t xml:space="preserve">3. Regular virtual check-ins be maintained between the home institution and the Shanghai site to ensure alignment of research objectives and compliance standards remains consistent throughout the tenure period.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China Shanghai</dc:title>
  <dc:creator/>
  <dc:language>en</dc:language>
  <cp:keywords/>
  <dcterms:created xsi:type="dcterms:W3CDTF">2026-07-30T03:56:15Z</dcterms:created>
  <dcterms:modified xsi:type="dcterms:W3CDTF">2026-07-30T03:56:15Z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