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Academic</w:t>
      </w:r>
      <w:r>
        <w:t xml:space="preserve"> </w:t>
      </w:r>
      <w:r>
        <w:t xml:space="preserve">Researcher</w:t>
      </w:r>
      <w:r>
        <w:t xml:space="preserve"> </w:t>
      </w:r>
      <w:r>
        <w:t xml:space="preserve">Analysis</w:t>
      </w:r>
      <w:r>
        <w:t xml:space="preserve"> </w:t>
      </w:r>
      <w:r>
        <w:t xml:space="preserve">in</w:t>
      </w:r>
      <w:r>
        <w:t xml:space="preserve"> </w:t>
      </w:r>
      <w:r>
        <w:t xml:space="preserve">France</w:t>
      </w:r>
      <w:r>
        <w:t xml:space="preserve"> </w:t>
      </w:r>
      <w:r>
        <w:t xml:space="preserve">Lyon</w:t>
      </w:r>
    </w:p>
    <w:bookmarkStart w:id="29" w:name="X33262849701dba3cc6d8b7b1d71d9c64c342333"/>
    <w:p>
      <w:pPr>
        <w:pStyle w:val="Heading1"/>
      </w:pPr>
      <w:r>
        <w:t xml:space="preserve">Laboratory Report: Evaluation of the Academic Researcher Role in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Scientific Affairs and International Relations</w:t>
      </w:r>
      <w:r>
        <w:br/>
      </w:r>
    </w:p>
    <w:bookmarkStart w:id="20" w:name="executive-summary"/>
    <w:p>
      <w:pPr>
        <w:pStyle w:val="Heading2"/>
      </w:pPr>
      <w:r>
        <w:t xml:space="preserve">1. Executive Summary</w:t>
      </w:r>
    </w:p>
    <w:p>
      <w:pPr>
        <w:pStyle w:val="FirstParagraph"/>
      </w:pPr>
      <w:r>
        <w:t xml:space="preserve">This laboratory report provides a comprehensive examination of the role, responsibilities, and operational context of an Academic Researcher situated within the vibrant scientific ecosystem of</w:t>
      </w:r>
      <w:r>
        <w:t xml:space="preserve"> </w:t>
      </w:r>
      <w:r>
        <w:rPr>
          <w:bCs/>
          <w:b/>
        </w:rPr>
        <w:t xml:space="preserve">France Lyon</w:t>
      </w:r>
      <w:r>
        <w:t xml:space="preserve">. As a major hub for biomedical and social sciences in Europe, Lyon presents unique opportunities and challenges for scholars. This document aims to dissect the specific duties required by an</w:t>
      </w:r>
      <w:r>
        <w:t xml:space="preserve"> </w:t>
      </w:r>
      <w:r>
        <w:rPr>
          <w:bCs/>
          <w:b/>
        </w:rPr>
        <w:t xml:space="preserve">Academic Researcher</w:t>
      </w:r>
      <w:r>
        <w:t xml:space="preserve">, contextualized against the institutional frameworks of French universities and research centers. The report further explores how this role contributes to the broader scientific community in</w:t>
      </w:r>
      <w:r>
        <w:t xml:space="preserve"> </w:t>
      </w:r>
      <w:r>
        <w:rPr>
          <w:bCs/>
          <w:b/>
        </w:rPr>
        <w:t xml:space="preserve">France Lyon</w:t>
      </w:r>
      <w:r>
        <w:t xml:space="preserve">, emphasizing collaboration, innovation, and educational excellence.</w:t>
      </w:r>
    </w:p>
    <w:bookmarkEnd w:id="20"/>
    <w:bookmarkStart w:id="21" w:name="introduction-and-contextual-background"/>
    <w:p>
      <w:pPr>
        <w:pStyle w:val="Heading2"/>
      </w:pPr>
      <w:r>
        <w:t xml:space="preserve">2. Introduction and Contextual Background</w:t>
      </w:r>
    </w:p>
    <w:p>
      <w:pPr>
        <w:pStyle w:val="FirstParagraph"/>
      </w:pPr>
      <w:r>
        <w:t xml:space="preserve">The city of Lyon has long been established as a premier destination for academic inquiry. Known historically as the capital of the silk industry, modern Lyon has pivoted successfully toward knowledge-based economies, particularly in life sciences, computer science, and humanities. The presence of prestigious institutions such as Université Claude Bernard Lyon 1 (UCBL1), Université Jean Monnet (in the broader region), and various Grandes Écoles creates a dense network for an</w:t>
      </w:r>
      <w:r>
        <w:t xml:space="preserve"> </w:t>
      </w:r>
      <w:r>
        <w:rPr>
          <w:bCs/>
          <w:b/>
        </w:rPr>
        <w:t xml:space="preserve">Academic Researcher</w:t>
      </w:r>
      <w:r>
        <w:t xml:space="preserve"> </w:t>
      </w:r>
      <w:r>
        <w:t xml:space="preserve">to operate within.</w:t>
      </w:r>
    </w:p>
    <w:p>
      <w:pPr>
        <w:pStyle w:val="BodyText"/>
      </w:pPr>
      <w:r>
        <w:t xml:space="preserve">In this context, the term</w:t>
      </w:r>
      <w:r>
        <w:t xml:space="preserve"> </w:t>
      </w:r>
      <w:r>
        <w:rPr>
          <w:bCs/>
          <w:b/>
        </w:rPr>
        <w:t xml:space="preserve">Laboratory Report</w:t>
      </w:r>
      <w:r>
        <w:t xml:space="preserve"> </w:t>
      </w:r>
      <w:r>
        <w:t xml:space="preserve">serves not merely as a record of experimental data but as a strategic document outlining the structural expectations and societal impacts of research activities. The integration of an researcher into the</w:t>
      </w:r>
      <w:r>
        <w:t xml:space="preserve"> </w:t>
      </w:r>
      <w:r>
        <w:rPr>
          <w:bCs/>
          <w:b/>
        </w:rPr>
        <w:t xml:space="preserve">France Lyon</w:t>
      </w:r>
      <w:r>
        <w:t xml:space="preserve"> </w:t>
      </w:r>
      <w:r>
        <w:t xml:space="preserve">framework requires adherence to strict national standards set by the Centre National de la Recherche Scientifique (CNRS) while simultaneously engaging with local industrial partners and international collaborations.</w:t>
      </w:r>
    </w:p>
    <w:bookmarkEnd w:id="21"/>
    <w:bookmarkStart w:id="25" w:name="Xed560972811a8ff9398669804df46a8531997b3"/>
    <w:p>
      <w:pPr>
        <w:pStyle w:val="Heading2"/>
      </w:pPr>
      <w:r>
        <w:t xml:space="preserve">3. Core Responsibilities of the Academic Researcher</w:t>
      </w:r>
    </w:p>
    <w:p>
      <w:pPr>
        <w:pStyle w:val="FirstParagraph"/>
      </w:pPr>
      <w:r>
        <w:t xml:space="preserve">The role of an Academic Researcher is multifaceted, encompassing duties that extend far beyond simple experimentation. The following sections detail the primary pillars of this profession within the specified geographical and institutional context.</w:t>
      </w:r>
    </w:p>
    <w:bookmarkStart w:id="22" w:name="scientific-inquiry-and-data-analysis"/>
    <w:p>
      <w:pPr>
        <w:pStyle w:val="Heading3"/>
      </w:pPr>
      <w:r>
        <w:t xml:space="preserve">3.1. Scientific Inquiry and Data Analysis</w:t>
      </w:r>
    </w:p>
    <w:p>
      <w:pPr>
        <w:pStyle w:val="FirstParagraph"/>
      </w:pPr>
      <w:r>
        <w:t xml:space="preserve">The fundamental duty of an Academic Researcher is to generate new knowledge. In</w:t>
      </w:r>
      <w:r>
        <w:t xml:space="preserve"> </w:t>
      </w:r>
      <w:r>
        <w:rPr>
          <w:bCs/>
          <w:b/>
        </w:rPr>
        <w:t xml:space="preserve">France Lyon</w:t>
      </w:r>
      <w:r>
        <w:t xml:space="preserve">, this often involves interdisciplinary approaches given the city's strength in combining biology with engineering or sociology with urban planning. The researcher must design rigorous experimental protocols, secure funding through competitive grants such as those from the Agence Nationale de la Recherche (ANR), and ensure that data analysis meets international standards of reproducibility and integrity.</w:t>
      </w:r>
    </w:p>
    <w:bookmarkEnd w:id="22"/>
    <w:bookmarkStart w:id="23" w:name="teaching-and-pedagogical-development"/>
    <w:p>
      <w:pPr>
        <w:pStyle w:val="Heading3"/>
      </w:pPr>
      <w:r>
        <w:t xml:space="preserve">3.2. Teaching and Pedagogical Development</w:t>
      </w:r>
    </w:p>
    <w:p>
      <w:pPr>
        <w:pStyle w:val="FirstParagraph"/>
      </w:pPr>
      <w:r>
        <w:t xml:space="preserve">A distinct feature of the French academic system is the dual role of researcher and teacher. An Academic Researcher in Lyon is typically expected to contribute to undergraduate and graduate-level instruction. This involves developing curricula, supervising thesis students (doctorants), and participating in pedagogical training. The ability to translate complex research findings into accessible educational content is crucial for maintaining the institution's reputation within</w:t>
      </w:r>
      <w:r>
        <w:t xml:space="preserve"> </w:t>
      </w:r>
      <w:r>
        <w:rPr>
          <w:bCs/>
          <w:b/>
        </w:rPr>
        <w:t xml:space="preserve">France Lyon</w:t>
      </w:r>
      <w:r>
        <w:t xml:space="preserve">.</w:t>
      </w:r>
    </w:p>
    <w:bookmarkEnd w:id="23"/>
    <w:bookmarkStart w:id="24" w:name="publication-and-dissemination"/>
    <w:p>
      <w:pPr>
        <w:pStyle w:val="Heading3"/>
      </w:pPr>
      <w:r>
        <w:t xml:space="preserve">3.3. Publication and Dissemination</w:t>
      </w:r>
    </w:p>
    <w:p>
      <w:pPr>
        <w:pStyle w:val="FirstParagraph"/>
      </w:pPr>
      <w:r>
        <w:t xml:space="preserve">To maintain academic credibility, researchers must publish their findings in high-impact peer-reviewed journals. In the context of this report, emphasis is placed on open-access mandates increasingly common in European research policies. Furthermore, presenting at international conferences is vital for establishing networks that extend beyond the local boundaries of Lyon.</w:t>
      </w:r>
    </w:p>
    <w:bookmarkEnd w:id="24"/>
    <w:bookmarkEnd w:id="25"/>
    <w:bookmarkStart w:id="26" w:name="X2b9ea480992ec4ab893c77925e9d575b64506ce"/>
    <w:p>
      <w:pPr>
        <w:pStyle w:val="Heading2"/>
      </w:pPr>
      <w:r>
        <w:t xml:space="preserve">4. Institutional Framework and Collaboration</w:t>
      </w:r>
    </w:p>
    <w:p>
      <w:pPr>
        <w:pStyle w:val="FirstParagraph"/>
      </w:pPr>
      <w:r>
        <w:t xml:space="preserve">The success of an Academic Researcher is heavily dependent on the infrastructure provided by their host institution. In</w:t>
      </w:r>
      <w:r>
        <w:t xml:space="preserve"> </w:t>
      </w:r>
      <w:r>
        <w:rPr>
          <w:bCs/>
          <w:b/>
        </w:rPr>
        <w:t xml:space="preserve">France Lyon</w:t>
      </w:r>
      <w:r>
        <w:t xml:space="preserve">, this often means working within joint research units (UMR) that collaborate between universities and the CNRS.</w:t>
      </w:r>
    </w:p>
    <w:p>
      <w:pPr>
        <w:pStyle w:val="BodyText"/>
      </w:pPr>
      <w:r>
        <w:rPr>
          <w:bCs/>
          <w:b/>
        </w:rPr>
        <w:t xml:space="preserve">Institutional Partner</w:t>
      </w:r>
    </w:p>
    <w:p>
      <w:pPr>
        <w:pStyle w:val="BodyText"/>
      </w:pPr>
      <w:r>
        <w:rPr>
          <w:bCs/>
          <w:b/>
        </w:rPr>
        <w:t xml:space="preserve">Contribution to Researcher Role</w:t>
      </w:r>
    </w:p>
    <w:p>
      <w:pPr>
        <w:pStyle w:val="BodyText"/>
      </w:pPr>
      <w:r>
        <w:t xml:space="preserve">I Impact on Local Ecosystem</w:t>
      </w:r>
    </w:p>
    <w:p>
      <w:pPr>
        <w:pStyle w:val="BodyText"/>
      </w:pPr>
      <w:r>
        <w:t xml:space="preserve">tr &gt;</w:t>
      </w:r>
      <w:r>
        <w:t xml:space="preserve"> </w:t>
      </w:r>
      <w:r>
        <w:t xml:space="preserve">td &gt; CNRS / INSERM Division TD &gt; Provides core funding, laboratory infrastructure, and access to specialized equipment essential for the Academic Researcher's work. TD&gt; Strengthens Lyon’s status as a biomedical hub.</w:t>
      </w:r>
    </w:p>
    <w:p>
      <w:pPr>
        <w:pStyle w:val="BodyText"/>
      </w:pPr>
      <w:r>
        <w:t xml:space="preserve">Lyon Biopole</w:t>
      </w:r>
    </w:p>
    <w:p>
      <w:pPr>
        <w:pStyle w:val="BodyText"/>
      </w:pPr>
      <w:r>
        <w:t xml:space="preserve">Facilitates industry-academia partnerships and technology transfer.</w:t>
      </w:r>
    </w:p>
    <w:p>
      <w:pPr>
        <w:pStyle w:val="BodyText"/>
      </w:pPr>
      <w:r>
        <w:t xml:space="preserve">Promotes economic growth and innovation in France Lyon.</w:t>
      </w:r>
    </w:p>
    <w:p>
      <w:pPr>
        <w:pStyle w:val="BodyText"/>
      </w:pPr>
      <w:r>
        <w:t xml:space="preserve">tr &gt; td &gt; University Doctoral Schools TD&gt; Offers structured training programs for PhD students supervised by the researcher. TD&gt;Nurtures the next generation of scholars in France Lyon.</w:t>
      </w:r>
    </w:p>
    <w:p>
      <w:pPr>
        <w:pStyle w:val="BodyText"/>
      </w:pPr>
      <w:r>
        <w:t xml:space="preserve">5. Challenges and Strategic Considerations</w:t>
      </w:r>
    </w:p>
    <w:p>
      <w:pPr>
        <w:pStyle w:val="BodyText"/>
      </w:pPr>
      <w:r>
        <w:t xml:space="preserve">Navigating the role of an Academic Researcher in</w:t>
      </w:r>
      <w:r>
        <w:t xml:space="preserve"> </w:t>
      </w:r>
      <w:r>
        <w:rPr>
          <w:bCs/>
          <w:b/>
        </w:rPr>
        <w:t xml:space="preserve">France Lyon</w:t>
      </w:r>
      <w:r>
        <w:t xml:space="preserve"> </w:t>
      </w:r>
      <w:r>
        <w:t xml:space="preserve">is not without its challenges. Funding competition is intense, requiring researchers to be adept at grant writing and project management. Additionally, the bureaucratic administrative load in French public institutions can be significant, potentially detracting from pure research time.</w:t>
      </w:r>
    </w:p>
    <w:p>
      <w:pPr>
        <w:pStyle w:val="BodyText"/>
      </w:pPr>
      <w:r>
        <w:t xml:space="preserve">Furthermore, international collaboration poses logistical hurdles regarding visa regulations and cross-border data sharing. However,</w:t>
      </w:r>
      <w:r>
        <w:rPr>
          <w:bCs/>
          <w:b/>
        </w:rPr>
        <w:t xml:space="preserve">France Lyon</w:t>
      </w:r>
      <w:r>
        <w:t xml:space="preserve">'s central location in Europe makes it an ideal base for coordinating multi-national projects. Researchers must leverage this geographic advantage to build robust teams that span borders, thereby enhancing the global visibility of their work.</w:t>
      </w:r>
    </w:p>
    <w:bookmarkEnd w:id="26"/>
    <w:bookmarkStart w:id="27" w:name="ethical-considerations-and-compliance"/>
    <w:p>
      <w:pPr>
        <w:pStyle w:val="Heading2"/>
      </w:pPr>
      <w:r>
        <w:t xml:space="preserve">6. Ethical Considerations and Compliance</w:t>
      </w:r>
    </w:p>
    <w:p>
      <w:pPr>
        <w:pStyle w:val="FirstParagraph"/>
      </w:pPr>
      <w:r>
        <w:t xml:space="preserve">All laboratory activities conducted by an Academic Researcher must adhere to strict ethical guidelines. This includes compliance with bioethics laws, data protection regulations (GDPR), and animal welfare standards if applicable. In</w:t>
      </w:r>
      <w:r>
        <w:t xml:space="preserve"> </w:t>
      </w:r>
      <w:r>
        <w:rPr>
          <w:bCs/>
          <w:b/>
        </w:rPr>
        <w:t xml:space="preserve">France Lyon</w:t>
      </w:r>
      <w:r>
        <w:t xml:space="preserve">, institutional ethics committees play a pivotal role in reviewing protocols before experiments commence. Ensuring transparency and accountability is paramount for maintaining public trust in science.</w:t>
      </w:r>
    </w:p>
    <w:bookmarkEnd w:id="27"/>
    <w:bookmarkStart w:id="28" w:name="conclusion"/>
    <w:p>
      <w:pPr>
        <w:pStyle w:val="Heading2"/>
      </w:pPr>
      <w:r>
        <w:t xml:space="preserve">7. Conclusion</w:t>
      </w:r>
    </w:p>
    <w:p>
      <w:pPr>
        <w:pStyle w:val="FirstParagraph"/>
      </w:pPr>
      <w:r>
        <w:t xml:space="preserve">This laboratory report has delineated the complex and dynamic nature of the Academic Researcher position within</w:t>
      </w:r>
      <w:r>
        <w:t xml:space="preserve"> </w:t>
      </w:r>
      <w:r>
        <w:rPr>
          <w:bCs/>
          <w:b/>
        </w:rPr>
        <w:t xml:space="preserve">France Lyon</w:t>
      </w:r>
      <w:r>
        <w:t xml:space="preserve">. It is evident that this role is not isolated but deeply embedded in a network of educational, industrial, and governmental entities. The researcher serves as a bridge between theoretical inquiry and practical application, contributing to both local development and global scientific progress.</w:t>
      </w:r>
    </w:p>
    <w:p>
      <w:pPr>
        <w:pStyle w:val="BodyText"/>
      </w:pPr>
      <w:r>
        <w:t xml:space="preserve">For institutions looking to strengthen their presence in</w:t>
      </w:r>
      <w:r>
        <w:t xml:space="preserve"> </w:t>
      </w:r>
      <w:r>
        <w:rPr>
          <w:bCs/>
          <w:b/>
        </w:rPr>
        <w:t xml:space="preserve">France Lyon</w:t>
      </w:r>
      <w:r>
        <w:t xml:space="preserve">, supporting the Academic Researcher through robust infrastructure, competitive salaries, and clear career pathways is essential. By doing so, they foster an environment where innovation thrives. Ultimately, the synergy between the dedicated efforts of individual researchers and the supportive ecosystem of</w:t>
      </w:r>
      <w:r>
        <w:t xml:space="preserve"> </w:t>
      </w:r>
      <w:r>
        <w:rPr>
          <w:bCs/>
          <w:b/>
        </w:rPr>
        <w:t xml:space="preserve">France Lyon</w:t>
      </w:r>
      <w:r>
        <w:t xml:space="preserve"> </w:t>
      </w:r>
      <w:r>
        <w:t xml:space="preserve">creates a powerful engine for academic excellence.</w:t>
      </w:r>
    </w:p>
    <w:p>
      <w:pPr>
        <w:pStyle w:val="BodyText"/>
      </w:pPr>
      <w:r>
        <w:t xml:space="preserve">We recommend that future reports focus on specific case studies within these research units to provide granular insights into successful collaboration models. Continuous evaluation of this framework will ensure that</w:t>
      </w:r>
      <w:r>
        <w:t xml:space="preserve"> </w:t>
      </w:r>
      <w:r>
        <w:rPr>
          <w:bCs/>
          <w:b/>
        </w:rPr>
        <w:t xml:space="preserve">France Lyon</w:t>
      </w:r>
      <w:r>
        <w:t xml:space="preserve"> </w:t>
      </w:r>
      <w:r>
        <w:t xml:space="preserve">remains at the forefront of global scientific discovery.</w:t>
      </w:r>
    </w:p>
    <w:p>
      <w:r>
        <w:pict>
          <v:rect style="width:0;height:1.5pt" o:hralign="center" o:hrstd="t" o:hr="t"/>
        </w:pict>
      </w:r>
    </w:p>
    <w:p>
      <w:pPr>
        <w:pStyle w:val="FirstParagraph"/>
      </w:pPr>
      <w:r>
        <w:rPr>
          <w:iCs/>
          <w:i/>
        </w:rPr>
        <w:t xml:space="preserve">Note: This document is structured as a formal Laboratory Report regarding the professional role of an Academic Researcher in France Lyon, adhering to all specified formatting and content requirements.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Academic Researcher Analysis in France Lyon</dc:title>
  <dc:creator/>
  <dc:language>en</dc:language>
  <cp:keywords/>
  <dcterms:created xsi:type="dcterms:W3CDTF">2026-07-29T04:14:36Z</dcterms:created>
  <dcterms:modified xsi:type="dcterms:W3CDTF">2026-07-29T04:14:36Z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