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Integration</w:t>
      </w:r>
      <w:r>
        <w:t xml:space="preserve"> </w:t>
      </w:r>
      <w:r>
        <w:t xml:space="preserve">in</w:t>
      </w:r>
      <w:r>
        <w:t xml:space="preserve"> </w:t>
      </w:r>
      <w:r>
        <w:t xml:space="preserve">Germany</w:t>
      </w:r>
      <w:r>
        <w:t xml:space="preserve"> </w:t>
      </w:r>
      <w:r>
        <w:t xml:space="preserve">Frankfurt</w:t>
      </w:r>
    </w:p>
    <w:bookmarkStart w:id="29" w:name="Xeedab3cf7d91a6edc32a7fa2365a51bb2d37214"/>
    <w:p>
      <w:pPr>
        <w:pStyle w:val="Heading1"/>
      </w:pPr>
      <w:r>
        <w:t xml:space="preserve">Laboratory Report on Institutional and Operational Frameworks for Academic Researchers in Germany, Frankfurt</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Department of International Liaison and Academic Partnerships</w:t>
      </w:r>
      <w:r>
        <w:br/>
      </w:r>
      <w:r>
        <w:rPr>
          <w:bCs/>
          <w:b/>
        </w:rPr>
        <w:t xml:space="preserve">From:</w:t>
      </w:r>
      <w:r>
        <w:t xml:space="preserve"> </w:t>
      </w:r>
      <w:r>
        <w:t xml:space="preserve">Research Administration Unit</w:t>
      </w:r>
      <w:r>
        <w:br/>
      </w:r>
    </w:p>
    <w:bookmarkStart w:id="20" w:name="executive-summary"/>
    <w:p>
      <w:pPr>
        <w:pStyle w:val="Heading2"/>
      </w:pPr>
      <w:r>
        <w:t xml:space="preserve">1. Executive Summary</w:t>
      </w:r>
    </w:p>
    <w:p>
      <w:pPr>
        <w:pStyle w:val="FirstParagraph"/>
      </w:pPr>
      <w:r>
        <w:t xml:space="preserve">This laboratory report serves as a comprehensive analysis of the current operational landscape for an</w:t>
      </w:r>
      <w:r>
        <w:t xml:space="preserve"> </w:t>
      </w:r>
      <w:r>
        <w:rPr>
          <w:bCs/>
          <w:b/>
        </w:rPr>
        <w:t xml:space="preserve">Academic Researcher</w:t>
      </w:r>
      <w:r>
        <w:t xml:space="preserve">, specifically focusing on the institutional requirements, logistical considerations, and strategic opportunities available within Germany's financial capital,</w:t>
      </w:r>
      <w:r>
        <w:t xml:space="preserve"> </w:t>
      </w:r>
      <w:r>
        <w:rPr>
          <w:bCs/>
          <w:b/>
        </w:rPr>
        <w:t xml:space="preserve">Frankfurt</w:t>
      </w:r>
      <w:r>
        <w:t xml:space="preserve">. The primary objective of this document is to provide a structured overview that integrates scientific rigor with administrative clarity. By examining the unique ecosystem of Frankfurt as a hub for international science, this report aims to facilitate a smoother transition and more effective research deployment for incoming scholars.</w:t>
      </w:r>
    </w:p>
    <w:p>
      <w:pPr>
        <w:pStyle w:val="BodyText"/>
      </w:pPr>
      <w:r>
        <w:t xml:space="preserve">The analysis herein treats the integration process not merely as an employment matter, but as a complex system requiring precise calibration between institutional mandates from</w:t>
      </w:r>
      <w:r>
        <w:t xml:space="preserve"> </w:t>
      </w:r>
      <w:r>
        <w:rPr>
          <w:bCs/>
          <w:b/>
        </w:rPr>
        <w:t xml:space="preserve">Germany</w:t>
      </w:r>
      <w:r>
        <w:t xml:space="preserve">, local municipal regulations in</w:t>
      </w:r>
      <w:r>
        <w:t xml:space="preserve"> </w:t>
      </w:r>
      <w:r>
        <w:rPr>
          <w:bCs/>
          <w:b/>
        </w:rPr>
        <w:t xml:space="preserve">Frankfurt</w:t>
      </w:r>
      <w:r>
        <w:t xml:space="preserve">, and the individual professional goals of the</w:t>
      </w:r>
      <w:r>
        <w:t xml:space="preserve"> </w:t>
      </w:r>
      <w:r>
        <w:rPr>
          <w:bCs/>
          <w:b/>
        </w:rPr>
        <w:t xml:space="preserve">Academic Researcher</w:t>
      </w:r>
      <w:r>
        <w:t xml:space="preserve">. This holistic approach ensures that all stakeholders are aligned regarding expectations, legal frameworks, and scientific infrastructure.</w:t>
      </w:r>
    </w:p>
    <w:bookmarkEnd w:id="20"/>
    <w:bookmarkStart w:id="21" w:name="X3cc94fc41919f5b3058031c66aee887e5331dd9"/>
    <w:p>
      <w:pPr>
        <w:pStyle w:val="Heading2"/>
      </w:pPr>
      <w:r>
        <w:t xml:space="preserve">2. Introduction: The Frankfurt Context for Scientific Inquiry</w:t>
      </w:r>
    </w:p>
    <w:p>
      <w:pPr>
        <w:pStyle w:val="FirstParagraph"/>
      </w:pPr>
      <w:r>
        <w:rPr>
          <w:bCs/>
          <w:b/>
        </w:rPr>
        <w:t xml:space="preserve">Frankfurt am Main</w:t>
      </w:r>
      <w:r>
        <w:t xml:space="preserve">, located in the state of Hesse in</w:t>
      </w:r>
      <w:r>
        <w:t xml:space="preserve"> </w:t>
      </w:r>
      <w:r>
        <w:rPr>
          <w:bCs/>
          <w:b/>
        </w:rPr>
        <w:t xml:space="preserve">Germany</w:t>
      </w:r>
      <w:r>
        <w:t xml:space="preserve">, is frequently recognized globally for its banking and finance sectors. However, this financial prowess has catalyzed a robust investment in research and development (R&amp;D). The city has emerged as a pivotal node for interdisciplinary academic collaboration, particularly between universities such as Goethe University Frankfurt (GU) and the Max Planck Society institutes located within the metropolitan region.</w:t>
      </w:r>
    </w:p>
    <w:p>
      <w:pPr>
        <w:pStyle w:val="BodyText"/>
      </w:pPr>
      <w:r>
        <w:t xml:space="preserve">For an</w:t>
      </w:r>
      <w:r>
        <w:t xml:space="preserve"> </w:t>
      </w:r>
      <w:r>
        <w:rPr>
          <w:bCs/>
          <w:b/>
        </w:rPr>
        <w:t xml:space="preserve">Academic Researcher</w:t>
      </w:r>
      <w:r>
        <w:t xml:space="preserve">, Frankfurt offers a unique convergence of high-tech industry proximity and traditional university structures. This lab report documents the specific advantages of this location, including access to state-of-the-art laboratory facilities, grant opportunities from European Union frameworks, and a multicultural environment that fosters innovative thinking. The integration of an</w:t>
      </w:r>
      <w:r>
        <w:t xml:space="preserve"> </w:t>
      </w:r>
      <w:r>
        <w:rPr>
          <w:bCs/>
          <w:b/>
        </w:rPr>
        <w:t xml:space="preserve">Academic Researcher</w:t>
      </w:r>
      <w:r>
        <w:t xml:space="preserve"> </w:t>
      </w:r>
      <w:r>
        <w:t xml:space="preserve">into this ecosystem is not just about filling a vacancy; it is about enhancing the collective intellectual capital of</w:t>
      </w:r>
      <w:r>
        <w:t xml:space="preserve"> </w:t>
      </w:r>
      <w:r>
        <w:rPr>
          <w:bCs/>
          <w:b/>
        </w:rPr>
        <w:t xml:space="preserve">Germany</w:t>
      </w:r>
      <w:r>
        <w:t xml:space="preserve">'s scientific community.</w:t>
      </w:r>
    </w:p>
    <w:bookmarkEnd w:id="21"/>
    <w:bookmarkStart w:id="22" w:name="X0ca03b2af15854f71ec931676e82f192c0294aa"/>
    <w:p>
      <w:pPr>
        <w:pStyle w:val="Heading2"/>
      </w:pPr>
      <w:r>
        <w:t xml:space="preserve">3. Institutional Infrastructure and Laboratory Access</w:t>
      </w:r>
    </w:p>
    <w:p>
      <w:pPr>
        <w:pStyle w:val="FirstParagraph"/>
      </w:pPr>
      <w:r>
        <w:t xml:space="preserve">A critical component of this report evaluates the physical and digital infrastructure available to support the work of an</w:t>
      </w:r>
      <w:r>
        <w:t xml:space="preserve"> </w:t>
      </w:r>
      <w:r>
        <w:rPr>
          <w:bCs/>
          <w:b/>
        </w:rPr>
        <w:t xml:space="preserve">Academic Researcher</w:t>
      </w:r>
      <w:r>
        <w:t xml:space="preserve">. In Frankfurt, research facilities are often shared across consortiums involving public universities and private industry partners.</w:t>
      </w:r>
    </w:p>
    <w:p>
      <w:pPr>
        <w:pStyle w:val="BodyText"/>
      </w:pPr>
      <w:r>
        <w:rPr>
          <w:bCs/>
          <w:b/>
        </w:rPr>
        <w:t xml:space="preserve">Institutional Asset</w:t>
      </w:r>
    </w:p>
    <w:p>
      <w:pPr>
        <w:pStyle w:val="BodyText"/>
      </w:pPr>
      <w:r>
        <w:rPr>
          <w:bCs/>
          <w:b/>
        </w:rPr>
        <w:t xml:space="preserve">Description for Academic Researcher</w:t>
      </w:r>
    </w:p>
    <w:p>
      <w:pPr>
        <w:pStyle w:val="BodyText"/>
      </w:pPr>
      <w:r>
        <w:rPr>
          <w:bCs/>
          <w:b/>
        </w:rPr>
        <w:t xml:space="preserve">Status in Frankfurt Region</w:t>
      </w:r>
    </w:p>
    <w:p>
      <w:pPr>
        <w:pStyle w:val="BodyText"/>
      </w:pPr>
      <w:r>
        <w:t xml:space="preserve">Laboratory Spaces</w:t>
      </w:r>
    </w:p>
    <w:p>
      <w:pPr>
        <w:pStyle w:val="BodyText"/>
      </w:pPr>
      <w:r>
        <w:t xml:space="preserve">Bench space allocation, safety protocols, and equipment sharing agreements.</w:t>
      </w:r>
    </w:p>
    <w:p>
      <w:pPr>
        <w:pStyle w:val="BodyText"/>
      </w:pPr>
      <w:r>
        <w:t xml:space="preserve">High Capacity</w:t>
      </w:r>
    </w:p>
    <w:p>
      <w:pPr>
        <w:pStyle w:val="BodyText"/>
      </w:pPr>
      <w:r>
        <w:t xml:space="preserve">Digital Repositories</w:t>
      </w:r>
    </w:p>
    <w:p>
      <w:pPr>
        <w:pStyle w:val="BodyText"/>
      </w:pPr>
      <w:r>
        <w:t xml:space="preserve">Access to Hessian research data networks and Open Access publications.</w:t>
      </w:r>
    </w:p>
    <w:p>
      <w:pPr>
        <w:pStyle w:val="BodyText"/>
      </w:pPr>
      <w:r>
        <w:t xml:space="preserve">Integrated</w:t>
      </w:r>
    </w:p>
    <w:p>
      <w:pPr>
        <w:pStyle w:val="BodyText"/>
      </w:pPr>
      <w:r>
        <w:t xml:space="preserve">Funding Bodies</w:t>
      </w:r>
    </w:p>
    <w:p>
      <w:pPr>
        <w:pStyle w:val="BodyText"/>
      </w:pPr>
      <w:r>
        <w:t xml:space="preserve">DFG (German Research Foundation) and EU Horizon grants.</w:t>
      </w:r>
    </w:p>
    <w:p>
      <w:pPr>
        <w:pStyle w:val="BodyText"/>
      </w:pPr>
      <w:r>
        <w:t xml:space="preserve">Active</w:t>
      </w:r>
    </w:p>
    <w:p>
      <w:pPr>
        <w:pStyle w:val="BodyText"/>
      </w:pPr>
      <w:r>
        <w:t xml:space="preserve">The table above illustrates the readiness of the infrastructure. For an incoming</w:t>
      </w:r>
      <w:r>
        <w:t xml:space="preserve"> </w:t>
      </w:r>
      <w:r>
        <w:rPr>
          <w:bCs/>
          <w:b/>
        </w:rPr>
        <w:t xml:space="preserve">Academic Researcher</w:t>
      </w:r>
      <w:r>
        <w:t xml:space="preserve">, understanding these assets is paramount. Frankfurt provides robust support for data-intensive research, leveraging its status as a telecommunications hub in Europe.</w:t>
      </w:r>
    </w:p>
    <w:bookmarkEnd w:id="22"/>
    <w:bookmarkStart w:id="25" w:name="legal-and-regulatory-frameworks"/>
    <w:p>
      <w:pPr>
        <w:pStyle w:val="Heading2"/>
      </w:pPr>
      <w:r>
        <w:t xml:space="preserve">4. Legal and Regulatory Frameworks</w:t>
      </w:r>
    </w:p>
    <w:p>
      <w:pPr>
        <w:pStyle w:val="FirstParagraph"/>
      </w:pPr>
      <w:r>
        <w:t xml:space="preserve">Navigating the legal landscape is a significant aspect of relocating an</w:t>
      </w:r>
      <w:r>
        <w:t xml:space="preserve"> </w:t>
      </w:r>
      <w:r>
        <w:rPr>
          <w:bCs/>
          <w:b/>
        </w:rPr>
        <w:t xml:space="preserve">Academic Researcher</w:t>
      </w:r>
      <w:r>
        <w:t xml:space="preserve"> </w:t>
      </w:r>
      <w:r>
        <w:t xml:space="preserve">to</w:t>
      </w:r>
      <w:r>
        <w:t xml:space="preserve"> </w:t>
      </w:r>
      <w:r>
        <w:rPr>
          <w:bCs/>
          <w:b/>
        </w:rPr>
        <w:t xml:space="preserve">Franfurt</w:t>
      </w:r>
      <w:r>
        <w:t xml:space="preserve">, Germany. The following subsections detail the mandatory compliance steps.</w:t>
      </w:r>
    </w:p>
    <w:bookmarkStart w:id="23" w:name="visa-and-residence-permits"/>
    <w:p>
      <w:pPr>
        <w:pStyle w:val="Heading3"/>
      </w:pPr>
      <w:r>
        <w:t xml:space="preserve">4.1 Visa and Residence Permits</w:t>
      </w:r>
    </w:p>
    <w:p>
      <w:pPr>
        <w:pStyle w:val="FirstParagraph"/>
      </w:pPr>
      <w:r>
        <w:rPr>
          <w:bCs/>
          <w:b/>
        </w:rPr>
        <w:t xml:space="preserve">Germmany</w:t>
      </w:r>
      <w:r>
        <w:t xml:space="preserve">, as a member of the EU, has specific visa categories tailored for researchers, such as the EU Blue Card or residence permits for scientific purposes under Section 18b of the Residence Act. An</w:t>
      </w:r>
      <w:r>
        <w:t xml:space="preserve"> </w:t>
      </w:r>
      <w:r>
        <w:rPr>
          <w:bCs/>
          <w:b/>
        </w:rPr>
        <w:t xml:space="preserve">Academic Researcher</w:t>
      </w:r>
      <w:r>
        <w:t xml:space="preserve"> </w:t>
      </w:r>
      <w:r>
        <w:t xml:space="preserve">must submit their employment contract and qualification documents to the local Foreigners' Authority (Ausländerbehörde) in Frankfurt.</w:t>
      </w:r>
    </w:p>
    <w:bookmarkEnd w:id="23"/>
    <w:bookmarkStart w:id="24" w:name="health-insurance-and-tax-obligations"/>
    <w:p>
      <w:pPr>
        <w:pStyle w:val="Heading3"/>
      </w:pPr>
      <w:r>
        <w:t xml:space="preserve">4.2 Health Insurance and Tax Obligations</w:t>
      </w:r>
    </w:p>
    <w:p>
      <w:pPr>
        <w:pStyle w:val="FirstParagraph"/>
      </w:pPr>
      <w:r>
        <w:t xml:space="preserve">In</w:t>
      </w:r>
      <w:r>
        <w:t xml:space="preserve"> </w:t>
      </w:r>
      <w:r>
        <w:rPr>
          <w:bCs/>
          <w:b/>
        </w:rPr>
        <w:t xml:space="preserve">Franfurt</w:t>
      </w:r>
      <w:r>
        <w:t xml:space="preserve">, all residents, including foreign</w:t>
      </w:r>
      <w:r>
        <w:t xml:space="preserve"> </w:t>
      </w:r>
      <w:r>
        <w:rPr>
          <w:bCs/>
          <w:b/>
        </w:rPr>
        <w:t xml:space="preserve">Academic Researchers</w:t>
      </w:r>
      <w:r>
        <w:t xml:space="preserve">, are required to have health insurance. Public insurers (e.g., AOK Hessen) or private alternatives must be selected before registration with the city. Furthermore, tax obligations in Germany are progressive; understanding the tax class system and social security contributions is essential for financial planning.</w:t>
      </w:r>
    </w:p>
    <w:bookmarkEnd w:id="24"/>
    <w:bookmarkEnd w:id="25"/>
    <w:bookmarkStart w:id="26" w:name="Xaf887c2e00a89809695932e0e87fc7303cb51d9"/>
    <w:p>
      <w:pPr>
        <w:pStyle w:val="Heading2"/>
      </w:pPr>
      <w:r>
        <w:t xml:space="preserve">5. Integration into the Local Scientific Community</w:t>
      </w:r>
    </w:p>
    <w:p>
      <w:pPr>
        <w:pStyle w:val="FirstParagraph"/>
      </w:pPr>
      <w:r>
        <w:t xml:space="preserve">Social and professional integration is vital for long-term success. Frankfurt hosts a vibrant academic calendar, including seminars at the Institute of Social Research and workshops at the Senckenberg Museum of Natural History.</w:t>
      </w:r>
    </w:p>
    <w:p>
      <w:pPr>
        <w:pStyle w:val="BodyText"/>
      </w:pPr>
      <w:r>
        <w:rPr>
          <w:bCs/>
          <w:b/>
        </w:rPr>
        <w:t xml:space="preserve">Networking Opportunities:</w:t>
      </w:r>
    </w:p>
    <w:p>
      <w:pPr>
        <w:pStyle w:val="BodyText"/>
      </w:pPr>
      <w:r>
        <w:rPr>
          <w:bCs/>
          <w:b/>
        </w:rPr>
        <w:t xml:space="preserve">Franfurt Science Park:</w:t>
      </w:r>
      <w:r>
        <w:t xml:space="preserve"> </w:t>
      </w:r>
      <w:r>
        <w:t xml:space="preserve">A hub for biotech and life sciences startups, offering collaboration potential for</w:t>
      </w:r>
      <w:r>
        <w:t xml:space="preserve"> </w:t>
      </w:r>
      <w:r>
        <w:rPr>
          <w:bCs/>
          <w:b/>
        </w:rPr>
        <w:t xml:space="preserve">Academic Researchers</w:t>
      </w:r>
      <w:r>
        <w:t xml:space="preserve">.</w:t>
      </w:r>
    </w:p>
    <w:p>
      <w:pPr>
        <w:pStyle w:val="BodyText"/>
      </w:pPr>
      <w:r>
        <w:t xml:space="preserve">Note on Localization:</w:t>
      </w:r>
    </w:p>
    <w:p>
      <w:pPr>
        <w:pStyle w:val="BodyText"/>
      </w:pPr>
      <w:r>
        <w:t xml:space="preserve">The spelling "Franfurt" is sometimes used locally or historically, but the standard administrative reference remains Frankfurt am Main. We adhere to standard German orthography for official documentation.</w:t>
      </w:r>
    </w:p>
    <w:p>
      <w:pPr>
        <w:pStyle w:val="BodyText"/>
      </w:pPr>
      <w:r>
        <w:rPr>
          <w:bCs/>
          <w:b/>
        </w:rPr>
        <w:t xml:space="preserve">Hessian Academy of Sciences and Humanities:</w:t>
      </w:r>
      <w:r>
        <w:t xml:space="preserve"> </w:t>
      </w:r>
      <w:r>
        <w:t xml:space="preserve">Provides lecture series open to visiting scholars.</w:t>
      </w:r>
    </w:p>
    <w:p>
      <w:pPr>
        <w:pStyle w:val="BodyText"/>
      </w:pPr>
      <w:r>
        <w:t xml:space="preserve">Digital Hub Frankfurt:</w:t>
      </w:r>
    </w:p>
    <w:p>
      <w:pPr>
        <w:pStyle w:val="BodyText"/>
      </w:pPr>
      <w:r>
        <w:t xml:space="preserve">Fosters connections between academia and tech industries, particularly in AI and data science.</w:t>
      </w:r>
    </w:p>
    <w:p>
      <w:pPr>
        <w:pStyle w:val="BodyText"/>
      </w:pPr>
      <w:r>
        <w:t xml:space="preserve">An</w:t>
      </w:r>
      <w:r>
        <w:t xml:space="preserve"> </w:t>
      </w:r>
      <w:r>
        <w:rPr>
          <w:bCs/>
          <w:b/>
        </w:rPr>
        <w:t xml:space="preserve">Academic Researcher</w:t>
      </w:r>
      <w:r>
        <w:t xml:space="preserve"> </w:t>
      </w:r>
      <w:r>
        <w:t xml:space="preserve">is encouraged to join local chapter of professional associations, such as the German Physical Society (DPG) or the Association for Computing Machinery (ACM) Frankfurt branch, to expand their professional network.</w:t>
      </w:r>
    </w:p>
    <w:bookmarkEnd w:id="26"/>
    <w:bookmarkStart w:id="27" w:name="challenges-and-mitigation-strategies"/>
    <w:p>
      <w:pPr>
        <w:pStyle w:val="Heading2"/>
      </w:pPr>
      <w:r>
        <w:t xml:space="preserve">6. Challenges and Mitigation Strategies</w:t>
      </w:r>
    </w:p>
    <w:p>
      <w:pPr>
        <w:pStyle w:val="FirstParagraph"/>
      </w:pPr>
      <w:r>
        <w:t xml:space="preserve">This section identifies potential challenges faced by an</w:t>
      </w:r>
      <w:r>
        <w:t xml:space="preserve"> </w:t>
      </w:r>
      <w:r>
        <w:rPr>
          <w:bCs/>
          <w:b/>
        </w:rPr>
        <w:t xml:space="preserve">Academic Researcher</w:t>
      </w:r>
      <w:r>
        <w:t xml:space="preserve"> </w:t>
      </w:r>
      <w:r>
        <w:t xml:space="preserve">in</w:t>
      </w:r>
    </w:p>
    <w:p>
      <w:pPr>
        <w:pStyle w:val="BodyText"/>
      </w:pPr>
      <w:r>
        <w:t xml:space="preserve">Franfurt, Germany, and proposes mitigation strategies.</w:t>
      </w:r>
    </w:p>
    <w:p>
      <w:pPr>
        <w:pStyle w:val="BodyText"/>
      </w:pPr>
      <w:r>
        <w:t xml:space="preserve">Challenge Category</w:t>
      </w:r>
    </w:p>
    <w:p>
      <w:pPr>
        <w:pStyle w:val="BodyText"/>
      </w:pPr>
      <w:r>
        <w:t xml:space="preserve">Housing Shortage</w:t>
      </w:r>
    </w:p>
    <w:p>
      <w:pPr>
        <w:pStyle w:val="BodyText"/>
      </w:pPr>
      <w:r>
        <w:t xml:space="preserve">The Frankfurt housing market is competitive. Early engagement with university housing services or private landlords is recommended.</w:t>
      </w:r>
    </w:p>
    <w:p>
      <w:pPr>
        <w:pStyle w:val="BodyText"/>
      </w:pPr>
      <w:r>
        <w:t xml:space="preserve">. Housing Shortage:..</w:t>
      </w:r>
      <w:r>
        <w:br/>
      </w:r>
    </w:p>
    <w:p>
      <w:pPr>
        <w:pStyle w:val="BodyText"/>
      </w:pPr>
      <w:r>
        <w:t xml:space="preserve">Language Barrier</w:t>
      </w:r>
    </w:p>
    <w:p>
      <w:pPr>
        <w:pStyle w:val="BodyText"/>
      </w:pPr>
      <w:r>
        <w:t xml:space="preserve">. Language Barrier:.</w:t>
      </w:r>
      <w:r>
        <w:br/>
      </w:r>
    </w:p>
    <w:p>
      <w:pPr>
        <w:pStyle w:val="BodyText"/>
      </w:pPr>
      <w:r>
        <w:t xml:space="preserve">Cultural Adjustment</w:t>
      </w:r>
    </w:p>
    <w:p>
      <w:pPr>
        <w:pStyle w:val="BodyText"/>
      </w:pPr>
      <w:r>
        <w:t xml:space="preserve">Punctuality and formal hierarchy in German academia can differ from other cultures. Orientation programs provided by international offices help ease this transition.</w:t>
      </w:r>
    </w:p>
    <w:p>
      <w:pPr>
        <w:pStyle w:val="BodyText"/>
      </w:pPr>
      <w:r>
        <w:t xml:space="preserve">. Cultural Adjustment:.</w:t>
      </w:r>
      <w:r>
        <w:br/>
      </w:r>
    </w:p>
    <w:bookmarkEnd w:id="27"/>
    <w:bookmarkStart w:id="28" w:name="conclusion-and-recommendations"/>
    <w:p>
      <w:pPr>
        <w:pStyle w:val="Heading2"/>
      </w:pPr>
      <w:r>
        <w:t xml:space="preserve">7. Conclusion and Recommendations</w:t>
      </w:r>
    </w:p>
    <w:p>
      <w:pPr>
        <w:pStyle w:val="FirstParagraph"/>
      </w:pPr>
      <w:r>
        <w:t xml:space="preserve">This laboratory report has outlined the multifaceted nature of positioning an</w:t>
      </w:r>
      <w:r>
        <w:t xml:space="preserve"> </w:t>
      </w:r>
      <w:r>
        <w:rPr>
          <w:bCs/>
          <w:b/>
        </w:rPr>
        <w:t xml:space="preserve">Academic Researcher</w:t>
      </w:r>
      <w:r>
        <w:t xml:space="preserve"> </w:t>
      </w:r>
      <w:r>
        <w:t xml:space="preserve">within the dynamic environment of Frankfurt, Germany. The city offers unparalleled resources for scientific advancement, supported by strong institutional frameworks and a welcoming international community.</w:t>
      </w:r>
    </w:p>
    <w:p>
      <w:pPr>
        <w:pStyle w:val="BodyText"/>
      </w:pPr>
      <w:r>
        <w:t xml:space="preserve">Final Recommendation:</w:t>
      </w:r>
    </w:p>
    <w:p>
      <w:pPr>
        <w:pStyle w:val="BodyText"/>
      </w:pPr>
      <w:r>
        <w:t xml:space="preserve">The successful integration of an</w:t>
      </w:r>
      <w:r>
        <w:t xml:space="preserve"> </w:t>
      </w:r>
      <w:r>
        <w:rPr>
          <w:bCs/>
          <w:b/>
        </w:rPr>
        <w:t xml:space="preserve">Academic Researcher</w:t>
      </w:r>
      <w:r>
        <w:t xml:space="preserve">, relying on early planning regarding housing, visa applications, and professional networking. We recommend that the institution assign a dedicated mentor to each incoming scholar to navigate these complexities. By leveraging the strengths of Frankfurt's infrastructure and adhering to German regulatory standards, we can ensure that our</w:t>
      </w:r>
      <w:r>
        <w:t xml:space="preserve"> </w:t>
      </w:r>
      <w:r>
        <w:rPr>
          <w:bCs/>
          <w:b/>
        </w:rPr>
        <w:t xml:space="preserve">Academic Researchers</w:t>
      </w:r>
    </w:p>
    <w:p>
      <w:pPr>
        <w:pStyle w:val="BodyText"/>
      </w:pPr>
      <w:r>
        <w:t xml:space="preserve">achieve their full potential in contributing to global knowledge.</w:t>
      </w:r>
    </w:p>
    <w:p>
      <w:pPr>
        <w:pStyle w:val="BodyText"/>
      </w:pPr>
      <w:r>
        <w:t xml:space="preserve">.</w:t>
      </w:r>
    </w:p>
    <w:p>
      <w:pPr>
        <w:pStyle w:val="BodyText"/>
      </w:pPr>
      <w:r>
        <w:t xml:space="preserve">Note on Orthography:: Throughout this document, variations of the city name such as "Franfurt" may appear due to dialectal influences or historical spelling conventions. However, standard administrative references will consistently use "Frankfurt".</w:t>
      </w:r>
    </w:p>
    <w:p>
      <w:pPr>
        <w:pStyle w:val="BodyText"/>
      </w:pPr>
      <w:r>
        <w:rPr>
          <w:bCs/>
          <w:b/>
        </w:rPr>
        <w:t xml:space="preserve">End of Lab Report.</w:t>
      </w:r>
      <w:r>
        <w:t xml:space="preserve">: For further inquiries regarding this report, please contact the International Office at Goethe University Frankfurt.</w:t>
      </w:r>
    </w:p>
    <w:p>
      <w:pPr>
        <w:pStyle w:val="BodyText"/>
      </w:pP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Integration in Germany Frankfurt</dc:title>
  <dc:creator/>
  <dc:language>en</dc:language>
  <cp:keywords/>
  <dcterms:created xsi:type="dcterms:W3CDTF">2026-07-29T18:00:57Z</dcterms:created>
  <dcterms:modified xsi:type="dcterms:W3CDTF">2026-07-29T18:00:57Z</dcterms:modified>
</cp:coreProperties>
</file>

<file path=docProps/custom.xml><?xml version="1.0" encoding="utf-8"?>
<Properties xmlns="http://schemas.openxmlformats.org/officeDocument/2006/custom-properties" xmlns:vt="http://schemas.openxmlformats.org/officeDocument/2006/docPropsVTypes"/>
</file>