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Indonesia</w:t>
      </w:r>
      <w:r>
        <w:t xml:space="preserve"> </w:t>
      </w:r>
      <w:r>
        <w:t xml:space="preserve">Jakarta</w:t>
      </w:r>
    </w:p>
    <w:bookmarkStart w:id="20" w:name="X84bc7621961462835b062aa40f7bd40e2b070fa"/>
    <w:p>
      <w:pPr>
        <w:pStyle w:val="Heading1"/>
      </w:pPr>
      <w:r>
        <w:t xml:space="preserve">Laboratory Report and Professional Profile Analysis</w:t>
      </w:r>
    </w:p>
    <w:p>
      <w:pPr>
        <w:pStyle w:val="FirstParagraph"/>
      </w:pPr>
      <w:r>
        <w:rPr>
          <w:bCs/>
          <w:b/>
        </w:rPr>
        <w:t xml:space="preserve">Date:</w:t>
      </w:r>
      <w:r>
        <w:t xml:space="preserve"> </w:t>
      </w:r>
      <w:r>
        <w:t xml:space="preserve">October 26, 2023</w:t>
      </w:r>
      <w:r>
        <w:br/>
      </w:r>
      <w:r>
        <w:rPr>
          <w:bCs/>
          <w:b/>
        </w:rPr>
        <w:t xml:space="preserve">Subject:</w:t>
      </w:r>
      <w:r>
        <w:t xml:space="preserve">The Academic Researcher in the Context of Indonesia Jakarta</w:t>
      </w:r>
      <w:r>
        <w:br/>
      </w:r>
      <w:r>
        <w:rPr>
          <w:bCs/>
          <w:b/>
        </w:rPr>
        <w:t xml:space="preserve">To:</w:t>
      </w:r>
    </w:p>
    <w:p>
      <w:pPr>
        <w:pStyle w:val="BodyText"/>
      </w:pPr>
      <w:r>
        <w:t xml:space="preserve">Research Administration Board</w:t>
      </w:r>
    </w:p>
    <w:p>
      <w:pPr>
        <w:pStyle w:val="BodyText"/>
      </w:pPr>
      <w:r>
        <w:br/>
      </w:r>
    </w:p>
    <w:bookmarkEnd w:id="20"/>
    <w:bookmarkStart w:id="21" w:name="i.-executive-summary"/>
    <w:p>
      <w:pPr>
        <w:pStyle w:val="Heading2"/>
      </w:pPr>
      <w:r>
        <w:t xml:space="preserve">I. Executive Summary</w:t>
      </w:r>
    </w:p>
    <w:p>
      <w:pPr>
        <w:pStyle w:val="FirstParagraph"/>
      </w:pPr>
      <w:r>
        <w:t xml:space="preserve">This laboratory report provides a comprehensive analysis of the role, responsibilities, and operational environment of an</w:t>
      </w:r>
      <w:r>
        <w:t xml:space="preserve"> </w:t>
      </w:r>
      <w:r>
        <w:rPr>
          <w:bCs/>
          <w:b/>
        </w:rPr>
        <w:t xml:space="preserve">Academic Researcher</w:t>
      </w:r>
      <w:r>
        <w:t xml:space="preserve"> </w:t>
      </w:r>
      <w:r>
        <w:t xml:space="preserve">situated within the dynamic academic and scientific landscape of</w:t>
      </w:r>
      <w:r>
        <w:t xml:space="preserve"> </w:t>
      </w:r>
      <w:r>
        <w:rPr>
          <w:bCs/>
          <w:b/>
        </w:rPr>
        <w:t xml:space="preserve">Indonesia Jakarta</w:t>
      </w:r>
      <w:r>
        <w:t xml:space="preserve">. As the capital city serves as the central hub for higher education and policy-making in Indonesia, understanding the specific nuances required for successful research operations in this region is paramount. This document details the methodological frameworks, ethical considerations, and collaborative dynamics that define contemporary scholarly work in this metropolitan center. The primary objective is to outline how an</w:t>
      </w:r>
      <w:r>
        <w:t xml:space="preserve"> </w:t>
      </w:r>
      <w:r>
        <w:rPr>
          <w:bCs/>
          <w:b/>
        </w:rPr>
        <w:t xml:space="preserve">Academic Researcher</w:t>
      </w:r>
      <w:r>
        <w:t xml:space="preserve"> </w:t>
      </w:r>
      <w:r>
        <w:t xml:space="preserve">navigates the complex intersection of traditional Indonesian academic values and modern global scientific standards within</w:t>
      </w:r>
      <w:r>
        <w:t xml:space="preserve"> </w:t>
      </w:r>
      <w:r>
        <w:rPr>
          <w:bCs/>
          <w:b/>
        </w:rPr>
        <w:t xml:space="preserve">Indonesia Jakarta</w:t>
      </w:r>
      <w:r>
        <w:t xml:space="preserve">.</w:t>
      </w:r>
    </w:p>
    <w:bookmarkEnd w:id="21"/>
    <w:bookmarkStart w:id="22" w:name="ii.-introduction-and-background"/>
    <w:p>
      <w:pPr>
        <w:pStyle w:val="Heading2"/>
      </w:pPr>
      <w:r>
        <w:t xml:space="preserve">II. Introduction and Background</w:t>
      </w:r>
    </w:p>
    <w:p>
      <w:pPr>
        <w:pStyle w:val="FirstParagraph"/>
      </w:pPr>
      <w:r>
        <w:t xml:space="preserve">The position of an</w:t>
      </w:r>
      <w:r>
        <w:t xml:space="preserve"> </w:t>
      </w:r>
      <w:r>
        <w:rPr>
          <w:bCs/>
          <w:b/>
        </w:rPr>
        <w:t xml:space="preserve">Academic Researcher</w:t>
      </w:r>
      <w:r>
        <w:t xml:space="preserve">Indonesia Jakarta, this role takes on additional significance due to the city's status as Indonesia’s political and economic center. The concentration of major universities such as Universitas Indonesia (UI), Institut Teknologi Bandung (ITB) which maintains strong ties in Jakarta, and numerous private institutions creates a highly competitive yet collaborative environment.</w:t>
      </w:r>
    </w:p>
    <w:p>
      <w:pPr>
        <w:pStyle w:val="BodyText"/>
      </w:pPr>
      <w:r>
        <w:t xml:space="preserve">An</w:t>
      </w:r>
      <w:r>
        <w:t xml:space="preserve"> </w:t>
      </w:r>
      <w:r>
        <w:rPr>
          <w:bCs/>
          <w:b/>
        </w:rPr>
        <w:t xml:space="preserve">Academic Researcher</w:t>
      </w:r>
      <w:r>
        <w:t xml:space="preserve"> </w:t>
      </w:r>
      <w:r>
        <w:t xml:space="preserve">operating in</w:t>
      </w:r>
      <w:r>
        <w:t xml:space="preserve"> </w:t>
      </w:r>
      <w:r>
        <w:rPr>
          <w:bCs/>
          <w:b/>
        </w:rPr>
        <w:t xml:space="preserve">Indonesia Jakarta</w:t>
      </w:r>
    </w:p>
    <w:bookmarkEnd w:id="22"/>
    <w:bookmarkStart w:id="25" w:name="X1bbbf8e7d1a74770a77fd5bc08f9c8e876c8b12"/>
    <w:p>
      <w:pPr>
        <w:pStyle w:val="Heading2"/>
      </w:pPr>
      <w:r>
        <w:t xml:space="preserve">III. Operational Environment in Indonesia Jakarta</w:t>
      </w:r>
    </w:p>
    <w:bookmarkStart w:id="23" w:name="a.-infrastructure-and-resources"/>
    <w:p>
      <w:pPr>
        <w:pStyle w:val="Heading3"/>
      </w:pPr>
      <w:r>
        <w:t xml:space="preserve">A. Infrastructure and Resources</w:t>
      </w:r>
    </w:p>
    <w:p>
      <w:pPr>
        <w:pStyle w:val="FirstParagraph"/>
      </w:pPr>
      <w:r>
        <w:t xml:space="preserve">The infrastructure available to an</w:t>
      </w:r>
      <w:r>
        <w:t xml:space="preserve"> </w:t>
      </w:r>
      <w:r>
        <w:rPr>
          <w:bCs/>
          <w:b/>
        </w:rPr>
        <w:t xml:space="preserve">Academic ResearcherIndonesia Jakarta</w:t>
      </w:r>
    </w:p>
    <w:bookmarkEnd w:id="23"/>
    <w:bookmarkStart w:id="24" w:name="b.-collaborative-networks"/>
    <w:p>
      <w:pPr>
        <w:pStyle w:val="Heading3"/>
      </w:pPr>
      <w:r>
        <w:t xml:space="preserve">B. Collaborative Networks</w:t>
      </w:r>
    </w:p>
    <w:p>
      <w:pPr>
        <w:pStyle w:val="FirstParagraph"/>
      </w:pPr>
      <w:r>
        <w:t xml:space="preserve">In</w:t>
      </w:r>
      <w:r>
        <w:t xml:space="preserve"> </w:t>
      </w:r>
      <w:r>
        <w:rPr>
          <w:bCs/>
          <w:b/>
        </w:rPr>
        <w:t xml:space="preserve">Indonesia Jakarta</w:t>
      </w:r>
      <w:r>
        <w:t xml:space="preserve">, research is increasingly interdisciplinary. An</w:t>
      </w:r>
      <w:r>
        <w:t xml:space="preserve"> </w:t>
      </w:r>
      <w:r>
        <w:rPr>
          <w:bCs/>
          <w:b/>
        </w:rPr>
        <w:t xml:space="preserve">Academic Researcher</w:t>
      </w:r>
    </w:p>
    <w:bookmarkEnd w:id="24"/>
    <w:bookmarkEnd w:id="25"/>
    <w:bookmarkStart w:id="28" w:name="iv.-methodological-framework"/>
    <w:p>
      <w:pPr>
        <w:pStyle w:val="Heading2"/>
      </w:pPr>
      <w:r>
        <w:t xml:space="preserve">IV. Methodological Framework</w:t>
      </w:r>
    </w:p>
    <w:p>
      <w:pPr>
        <w:pStyle w:val="FirstParagraph"/>
      </w:pPr>
      <w:r>
        <w:t xml:space="preserve">The methodological approach adopted by an</w:t>
      </w:r>
      <w:r>
        <w:t xml:space="preserve"> </w:t>
      </w:r>
      <w:r>
        <w:rPr>
          <w:bCs/>
          <w:b/>
        </w:rPr>
        <w:t xml:space="preserve">Academic Researcher</w:t>
      </w:r>
    </w:p>
    <w:bookmarkStart w:id="26" w:name="a.-data-collection-ethics"/>
    <w:p>
      <w:pPr>
        <w:pStyle w:val="Heading3"/>
      </w:pPr>
      <w:r>
        <w:t xml:space="preserve">A. Data Collection Ethics</w:t>
      </w:r>
    </w:p>
    <w:p>
      <w:pPr>
        <w:pStyle w:val="FirstParagraph"/>
      </w:pPr>
      <w:r>
        <w:t xml:space="preserve">Ethical considerations are paramount. An</w:t>
      </w:r>
      <w:r>
        <w:t xml:space="preserve"> </w:t>
      </w:r>
      <w:r>
        <w:rPr>
          <w:bCs/>
          <w:b/>
        </w:rPr>
        <w:t xml:space="preserve">Academic Researcher</w:t>
      </w:r>
      <w:r>
        <w:t xml:space="preserve">Indonesia Jakarta</w:t>
      </w:r>
    </w:p>
    <w:bookmarkEnd w:id="26"/>
    <w:bookmarkStart w:id="27" w:name="b.-technological-integration"/>
    <w:p>
      <w:pPr>
        <w:pStyle w:val="Heading3"/>
      </w:pPr>
      <w:r>
        <w:t xml:space="preserve">B. Technological Integration</w:t>
      </w:r>
    </w:p>
    <w:p>
      <w:pPr>
        <w:pStyle w:val="FirstParagraph"/>
      </w:pPr>
      <w:r>
        <w:t xml:space="preserve">The integration of digital tools is a hallmark of modern research. An</w:t>
      </w:r>
      <w:r>
        <w:t xml:space="preserve"> </w:t>
      </w:r>
      <w:r>
        <w:rPr>
          <w:bCs/>
          <w:b/>
        </w:rPr>
        <w:t xml:space="preserve">Academic Researcher</w:t>
      </w:r>
    </w:p>
    <w:bookmarkEnd w:id="27"/>
    <w:bookmarkEnd w:id="28"/>
    <w:bookmarkStart w:id="31" w:name="X633741b074ff472238ad3f682f59acff5733002"/>
    <w:p>
      <w:pPr>
        <w:pStyle w:val="Heading2"/>
      </w:pPr>
      <w:r>
        <w:t xml:space="preserve">V. Key Challenges and Strategic Responses</w:t>
      </w:r>
    </w:p>
    <w:bookmarkStart w:id="29" w:name="a.-funding-constraints"/>
    <w:p>
      <w:pPr>
        <w:pStyle w:val="Heading3"/>
      </w:pPr>
      <w:r>
        <w:t xml:space="preserve">A. Funding Constraints</w:t>
      </w:r>
    </w:p>
    <w:p>
      <w:pPr>
        <w:pStyle w:val="FirstParagraph"/>
      </w:pPr>
      <w:r>
        <w:t xml:space="preserve">While</w:t>
      </w:r>
      <w:r>
        <w:t xml:space="preserve"> </w:t>
      </w:r>
      <w:r>
        <w:rPr>
          <w:bCs/>
          <w:b/>
        </w:rPr>
        <w:t xml:space="preserve">Indonesia Jakarta</w:t>
      </w:r>
      <w:r>
        <w:t xml:space="preserve">Academic Researcher professionals. To mitigate this, researchers must diversify funding sources by applying for international grants, partnering with private sector industries located in Jakarta’s business districts, and engaging in consultancy work that aligns with their research interests.</w:t>
      </w:r>
    </w:p>
    <w:bookmarkEnd w:id="29"/>
    <w:bookmarkStart w:id="30" w:name="b.-bureaucratic-hurdles"/>
    <w:p>
      <w:pPr>
        <w:pStyle w:val="Heading3"/>
      </w:pPr>
      <w:r>
        <w:t xml:space="preserve">B. Bureaucratic Hurdles</w:t>
      </w:r>
    </w:p>
    <w:p>
      <w:pPr>
        <w:pStyle w:val="FirstParagraph"/>
      </w:pPr>
      <w:r>
        <w:t xml:space="preserve">Bureaucracy can stifle innovation. An effective</w:t>
      </w:r>
      <w:r>
        <w:t xml:space="preserve"> </w:t>
      </w:r>
      <w:r>
        <w:rPr>
          <w:bCs/>
          <w:b/>
        </w:rPr>
        <w:t xml:space="preserve">Academic Researcher</w:t>
      </w:r>
    </w:p>
    <w:bookmarkEnd w:id="30"/>
    <w:bookmarkEnd w:id="31"/>
    <w:bookmarkStart w:id="32" w:name="vi.-impact-and-societal-relevance"/>
    <w:p>
      <w:pPr>
        <w:pStyle w:val="Heading2"/>
      </w:pPr>
      <w:r>
        <w:t xml:space="preserve">VI. Impact and Societal Relevance</w:t>
      </w:r>
    </w:p>
    <w:p>
      <w:pPr>
        <w:pStyle w:val="FirstParagraph"/>
      </w:pPr>
      <w:r>
        <w:t xml:space="preserve">The ultimate goal of an</w:t>
      </w:r>
      <w:r>
        <w:t xml:space="preserve"> </w:t>
      </w:r>
      <w:r>
        <w:rPr>
          <w:bCs/>
          <w:b/>
        </w:rPr>
        <w:t xml:space="preserve">Academic Researcher</w:t>
      </w:r>
      <w:r>
        <w:t xml:space="preserve">Indonesia Jakarta</w:t>
      </w:r>
    </w:p>
    <w:p>
      <w:pPr>
        <w:pStyle w:val="BodyText"/>
      </w:pPr>
      <w:r>
        <w:t xml:space="preserve">The visibility of research conducted in</w:t>
      </w:r>
      <w:r>
        <w:t xml:space="preserve"> </w:t>
      </w:r>
      <w:r>
        <w:rPr>
          <w:bCs/>
          <w:b/>
        </w:rPr>
        <w:t xml:space="preserve">Indonesia Jakarta</w:t>
      </w:r>
      <w:r>
        <w:t xml:space="preserve">Academic Researcher increase citation metrics and foster international partnerships. This global engagement is vital for knowledge transfer and capacity building.</w:t>
      </w:r>
    </w:p>
    <w:bookmarkEnd w:id="32"/>
    <w:bookmarkStart w:id="33" w:name="vii.-conclusion"/>
    <w:p>
      <w:pPr>
        <w:pStyle w:val="Heading2"/>
      </w:pPr>
      <w:r>
        <w:t xml:space="preserve">VII. Conclusion</w:t>
      </w:r>
    </w:p>
    <w:p>
      <w:pPr>
        <w:pStyle w:val="FirstParagraph"/>
      </w:pPr>
      <w:r>
        <w:t xml:space="preserve">In conclusion, the role of an</w:t>
      </w:r>
      <w:r>
        <w:t xml:space="preserve"> </w:t>
      </w:r>
      <w:r>
        <w:rPr>
          <w:bCs/>
          <w:b/>
        </w:rPr>
        <w:t xml:space="preserve">Academic Researcher</w:t>
      </w:r>
      <w:r>
        <w:t xml:space="preserve">Indonesia Jakarta</w:t>
      </w:r>
    </w:p>
    <w:p>
      <w:pPr>
        <w:pStyle w:val="BodyText"/>
      </w:pPr>
      <w:r>
        <w:t xml:space="preserve">As</w:t>
      </w:r>
      <w:r>
        <w:t xml:space="preserve"> </w:t>
      </w:r>
      <w:r>
        <w:rPr>
          <w:bCs/>
          <w:b/>
        </w:rPr>
        <w:t xml:space="preserve">Indonesia JakartaAcademic Researcher professionals will rise. Future developments in this field must focus on enhancing research infrastructure, promoting interdisciplinary collaboration, and ensuring that academic output directly addresses the socioeconomic needs of the Indonesian population. This lab report serves as a foundational document outlining these critical aspects, emphasizing that excellence in academia is deeply intertwined with the specific context of</w:t>
      </w:r>
      <w:r>
        <w:rPr>
          <w:bCs/>
          <w:b/>
        </w:rPr>
        <w:t xml:space="preserve"> </w:t>
      </w:r>
      <w:r>
        <w:rPr>
          <w:bCs/>
          <w:b/>
          <w:bCs/>
          <w:b/>
        </w:rPr>
        <w:t xml:space="preserve">Indonesia Jakarta</w:t>
      </w:r>
    </w:p>
    <w:bookmarkEnd w:id="33"/>
    <w:bookmarkStart w:id="34" w:name="viii.-recommendations"/>
    <w:p>
      <w:pPr>
        <w:pStyle w:val="Heading2"/>
      </w:pPr>
      <w:r>
        <w:t xml:space="preserve">VIII. Recommendations</w:t>
      </w:r>
    </w:p>
    <w:p>
      <w:pPr>
        <w:numPr>
          <w:ilvl w:val="0"/>
          <w:numId w:val="1001"/>
        </w:numPr>
        <w:pStyle w:val="Compact"/>
      </w:pPr>
      <w:r>
        <w:rPr>
          <w:bCs/>
          <w:b/>
        </w:rPr>
        <w:t xml:space="preserve">Promote Interdisciplinary Centers:</w:t>
      </w:r>
      <w:r>
        <w:br/>
      </w:r>
      <w:r>
        <w:t xml:space="preserve">Establish dedicated research centers in</w:t>
      </w:r>
      <w:r>
        <w:t xml:space="preserve"> </w:t>
      </w:r>
      <w:r>
        <w:rPr>
          <w:bCs/>
          <w:b/>
        </w:rPr>
        <w:t xml:space="preserve">Indonesia Jakarta</w:t>
      </w:r>
    </w:p>
    <w:p>
      <w:pPr>
        <w:numPr>
          <w:ilvl w:val="0"/>
          <w:numId w:val="1001"/>
        </w:numPr>
        <w:pStyle w:val="Compact"/>
      </w:pPr>
      <w:r>
        <w:t xml:space="preserve">Enhance Funding Mechanisms: Provide seed grants specifically designed for early-career</w:t>
      </w:r>
    </w:p>
    <w:p>
      <w:pPr>
        <w:numPr>
          <w:ilvl w:val="0"/>
          <w:numId w:val="1000"/>
        </w:numPr>
        <w:pStyle w:val="Compact"/>
      </w:pPr>
      <w:r>
        <w:t xml:space="preserve">Academic Researcher to encourage innovation and reduce dependency on external funding.</w:t>
      </w:r>
    </w:p>
    <w:p>
      <w:pPr>
        <w:numPr>
          <w:ilvl w:val="0"/>
          <w:numId w:val="1001"/>
        </w:numPr>
        <w:pStyle w:val="Compact"/>
      </w:pPr>
      <w:r>
        <w:t xml:space="preserve">Cultural Sensitivity Training: Implement mandatory training for researchers on ethical data collection and community engagement within the local context of</w:t>
      </w:r>
    </w:p>
    <w:p>
      <w:pPr>
        <w:numPr>
          <w:ilvl w:val="0"/>
          <w:numId w:val="1000"/>
        </w:numPr>
        <w:pStyle w:val="Compact"/>
      </w:pPr>
      <w:r>
        <w:t xml:space="preserve">Indonesia Jakarta</w:t>
      </w:r>
    </w:p>
    <w:p>
      <w:pPr>
        <w:numPr>
          <w:ilvl w:val="0"/>
          <w:numId w:val="1001"/>
        </w:numPr>
        <w:pStyle w:val="Compact"/>
      </w:pPr>
      <w:r>
        <w:t xml:space="preserve">Digital Infrastructure Investment: Invest in high-speed internet and computational resources to support data-intensive research conducted by</w:t>
      </w:r>
    </w:p>
    <w:p>
      <w:pPr>
        <w:numPr>
          <w:ilvl w:val="0"/>
          <w:numId w:val="1000"/>
        </w:numPr>
        <w:pStyle w:val="Compact"/>
      </w:pPr>
      <w:r>
        <w:t xml:space="preserve">Academic Researcher across the city.</w:t>
      </w:r>
    </w:p>
    <w:p>
      <w:pPr>
        <w:pStyle w:val="FirstParagraph"/>
      </w:pPr>
      <w:r>
        <w:t xml:space="preserve">This document has been prepared in compliance with standard academic reporting formats, ensuring all references to</w:t>
      </w:r>
    </w:p>
    <w:p>
      <w:pPr>
        <w:pStyle w:val="BodyText"/>
      </w:pPr>
      <w:r>
        <w:t xml:space="preserve">Academic ResearcherIndonesia Jakarta</w:t>
      </w:r>
    </w:p>
    <w:p>
      <w:pPr>
        <w:pStyle w:val="BodyText"/>
      </w:pPr>
      <w:r>
        <w:t xml:space="preserve">End of Report</w:t>
      </w:r>
      <w:r>
        <w:br/>
      </w:r>
      <w:r>
        <w:t xml:space="preserve">Prepared by the Department of Academic Affairs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Indonesia Jakarta</dc:title>
  <dc:creator/>
  <dc:language>en</dc:language>
  <cp:keywords/>
  <dcterms:created xsi:type="dcterms:W3CDTF">2026-07-29T16:19:21Z</dcterms:created>
  <dcterms:modified xsi:type="dcterms:W3CDTF">2026-07-29T16:19:21Z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