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Researcher</w:t>
      </w:r>
      <w:r>
        <w:t xml:space="preserve"> </w:t>
      </w:r>
      <w:r>
        <w:t xml:space="preserve">Deployment</w:t>
      </w:r>
      <w:r>
        <w:t xml:space="preserve"> </w:t>
      </w:r>
      <w:r>
        <w:t xml:space="preserve">in</w:t>
      </w:r>
      <w:r>
        <w:t xml:space="preserve"> </w:t>
      </w:r>
      <w:r>
        <w:t xml:space="preserve">Japan,</w:t>
      </w:r>
      <w:r>
        <w:t xml:space="preserve"> </w:t>
      </w:r>
      <w:r>
        <w:t xml:space="preserve">Tokyo</w:t>
      </w:r>
    </w:p>
    <w:bookmarkStart w:id="20" w:name="laboratory-report"/>
    <w:p>
      <w:pPr>
        <w:pStyle w:val="Heading1"/>
      </w:pPr>
      <w:r>
        <w:t xml:space="preserve">Laboratory Report</w:t>
      </w:r>
    </w:p>
    <w:p>
      <w:pPr>
        <w:pStyle w:val="FirstParagraph"/>
      </w:pPr>
      <w:r>
        <w:rPr>
          <w:bCs/>
          <w:b/>
        </w:rPr>
        <w:t xml:space="preserve">Title:</w:t>
      </w:r>
      <w:r>
        <w:t xml:space="preserve"> </w:t>
      </w:r>
      <w:r>
        <w:t xml:space="preserve">Strategic Assessment and Operational Framework for the Academic Researcher Position in Japan, Tokyo</w:t>
      </w:r>
    </w:p>
    <w:p>
      <w:pPr>
        <w:pStyle w:val="BodyText"/>
      </w:pPr>
      <w:r>
        <w:rPr>
          <w:bCs/>
          <w:b/>
        </w:rPr>
        <w:t xml:space="preserve">Date:</w:t>
      </w:r>
      <w:r>
        <w:t xml:space="preserve">October 24, 2023</w:t>
      </w:r>
    </w:p>
    <w:bookmarkEnd w:id="20"/>
    <w:bookmarkStart w:id="21" w:name="X649bbc94887267fd20948a474d9aa7e3e0b654e"/>
    <w:p>
      <w:pPr>
        <w:pStyle w:val="Heading1"/>
      </w:pPr>
      <w:r>
        <w:t xml:space="preserve">Laboratory Report: Academic Researcher Deployment in Japan, Tokyo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International Academic Affairs</w:t>
      </w:r>
      <w:r>
        <w:br/>
      </w:r>
    </w:p>
    <w:p>
      <w:pPr>
        <w:pStyle w:val="BodyText"/>
      </w:pPr>
      <w:r>
        <w:t xml:space="preserve">From:</w:t>
      </w:r>
      <w:r>
        <w:br/>
      </w:r>
    </w:p>
    <w:p>
      <w:pPr>
        <w:pStyle w:val="BodyText"/>
      </w:pPr>
      <w:r>
        <w:t xml:space="preserve">A. B. C.</w:t>
      </w:r>
    </w:p>
    <w:p>
      <w:r>
        <w:pict>
          <v:rect style="width:0;height:1.5pt" o:hralign="center" o:hrstd="t" o:hr="t"/>
        </w:pict>
      </w:r>
    </w:p>
    <w:bookmarkEnd w:id="21"/>
    <w:bookmarkStart w:id="22" w:name="introduction-and-objectives"/>
    <w:p>
      <w:pPr>
        <w:pStyle w:val="Heading2"/>
      </w:pPr>
      <w:r>
        <w:t xml:space="preserve">1.0 Introduction and Objectives</w:t>
      </w:r>
    </w:p>
    <w:p>
      <w:pPr>
        <w:pStyle w:val="FirstParagraph"/>
      </w:pPr>
      <w:r>
        <w:t xml:space="preserve">This document serves as a formal laboratory report detailing the structural requirements, environmental considerations, and academic expectations associated with deploying an</w:t>
      </w:r>
      <w:r>
        <w:t xml:space="preserve"> </w:t>
      </w:r>
      <w:r>
        <w:rPr>
          <w:bCs/>
          <w:b/>
        </w:rPr>
        <w:t xml:space="preserve">Academic Researcher</w:t>
      </w:r>
      <w:r>
        <w:t xml:space="preserve"> </w:t>
      </w:r>
      <w:r>
        <w:t xml:space="preserve">to the bustling metropolitan hub of</w:t>
      </w:r>
      <w:r>
        <w:t xml:space="preserve"> </w:t>
      </w:r>
      <w:r>
        <w:rPr>
          <w:bCs/>
          <w:b/>
        </w:rPr>
        <w:t xml:space="preserve">Tokyo</w:t>
      </w:r>
      <w:r>
        <w:t xml:space="preserve">, located within the sovereign nation of</w:t>
      </w:r>
    </w:p>
    <w:p>
      <w:pPr>
        <w:pStyle w:val="BodyText"/>
      </w:pPr>
      <w:r>
        <w:t xml:space="preserve">Japan. As global scientific collaboration becomes increasingly vital in addressing complex international challenges, institutions must ensure that their representatives are equipped not only intellectually but also culturally and logistically to thrive in foreign research environments.</w:t>
      </w:r>
    </w:p>
    <w:p>
      <w:pPr>
        <w:pStyle w:val="BodyText"/>
      </w:pPr>
      <w:r>
        <w:t xml:space="preserve">The primary objective of this report is to outline the comprehensive framework necessary for a successful tenure as an</w:t>
      </w:r>
      <w:r>
        <w:t xml:space="preserve"> </w:t>
      </w:r>
      <w:r>
        <w:rPr>
          <w:bCs/>
          <w:b/>
        </w:rPr>
        <w:t xml:space="preserve">Academic Researcher</w:t>
      </w:r>
      <w:r>
        <w:t xml:space="preserve">. By focusing on the unique scientific landscape of</w:t>
      </w:r>
      <w:r>
        <w:t xml:space="preserve"> </w:t>
      </w:r>
      <w:r>
        <w:rPr>
          <w:bCs/>
          <w:b/>
        </w:rPr>
        <w:t xml:space="preserve">Tokyo</w:t>
      </w:r>
      <w:r>
        <w:t xml:space="preserve">, we aim to provide actionable insights into laboratory integration, cultural adaptation, and research continuity. This report emphasizes that while the core mission remains academic discovery, the success of any researcher abroad is heavily dependent on their understanding of local infrastructures and societal norms.</w:t>
      </w:r>
    </w:p>
    <w:bookmarkEnd w:id="22"/>
    <w:bookmarkStart w:id="25" w:name="the-research-ecosystem-in-tokyo"/>
    <w:p>
      <w:pPr>
        <w:pStyle w:val="Heading2"/>
      </w:pPr>
      <w:r>
        <w:t xml:space="preserve">2.0 The Research Ecosystem in Tokyo</w:t>
      </w:r>
    </w:p>
    <w:p>
      <w:pPr>
        <w:pStyle w:val="FirstParagraph"/>
      </w:pPr>
      <w:r>
        <w:rPr>
          <w:bCs/>
          <w:b/>
        </w:rPr>
        <w:t xml:space="preserve">Tokyo</w:t>
      </w:r>
      <w:r>
        <w:t xml:space="preserve">, as the capital of Japan, represents one of the most dense and dynamic centers for scientific innovation in Asia. For any</w:t>
      </w:r>
      <w:r>
        <w:t xml:space="preserve"> </w:t>
      </w:r>
      <w:r>
        <w:rPr>
          <w:bCs/>
          <w:b/>
        </w:rPr>
        <w:t xml:space="preserve">Academic Researcher</w:t>
      </w:r>
      <w:r>
        <w:t xml:space="preserve">, choosing a location within this specific metropolitan area offers unparalleled access to cutting-edge facilities, interdisciplinary collaboration opportunities, and vast funding resources.</w:t>
      </w:r>
    </w:p>
    <w:bookmarkStart w:id="23" w:name="infrastructure-availability"/>
    <w:p>
      <w:pPr>
        <w:pStyle w:val="Heading3"/>
      </w:pPr>
      <w:r>
        <w:t xml:space="preserve">2.1 Infrastructure Availability</w:t>
      </w:r>
    </w:p>
    <w:p>
      <w:pPr>
        <w:pStyle w:val="FirstParagraph"/>
      </w:pPr>
      <w:r>
        <w:t xml:space="preserve">The laboratory infrastructure available to an</w:t>
      </w:r>
      <w:r>
        <w:t xml:space="preserve"> </w:t>
      </w:r>
      <w:r>
        <w:rPr>
          <w:bCs/>
          <w:b/>
        </w:rPr>
        <w:t xml:space="preserve">ATokyo</w:t>
      </w:r>
      <w:r>
        <w:t xml:space="preserve"> </w:t>
      </w:r>
      <w:r>
        <w:t xml:space="preserve">is generally state-of-the-art. The city hosts numerous world-renowned universities and private research institutes, such as the University of Tokyo and Waseda University, which maintain high standards for equipment maintenance and safety protocols. Researchers must familiarize themselves with these specific institutional rules early in their tenure to ensure compliance.</w:t>
      </w:r>
    </w:p>
    <w:bookmarkEnd w:id="23"/>
    <w:bookmarkStart w:id="24" w:name="interdisciplinary-collaboration"/>
    <w:p>
      <w:pPr>
        <w:pStyle w:val="Heading3"/>
      </w:pPr>
      <w:r>
        <w:t xml:space="preserve">2.2 Interdisciplinary Collaboration</w:t>
      </w:r>
    </w:p>
    <w:p>
      <w:pPr>
        <w:pStyle w:val="FirstParagraph"/>
      </w:pPr>
      <w:r>
        <w:rPr>
          <w:bCs/>
          <w:b/>
        </w:rPr>
        <w:t xml:space="preserve">Tokyo</w:t>
      </w:r>
      <w:r>
        <w:t xml:space="preserve">'s research environment is characterized by a strong emphasis on group dynamics and collective achievement, often referred to as "wa" (harmony). An</w:t>
      </w:r>
      <w:r>
        <w:t xml:space="preserve"> </w:t>
      </w:r>
      <w:r>
        <w:rPr>
          <w:bCs/>
          <w:b/>
        </w:rPr>
        <w:t xml:space="preserve">Academic Researcher</w:t>
      </w:r>
      <w:r>
        <w:t xml:space="preserve"> </w:t>
      </w:r>
      <w:r>
        <w:t xml:space="preserve">must understand that decision-making processes in Japanese laboratories may be consensus-based rather than hierarchical. This cultural nuance is critical for integrating into existing teams and ensuring smooth workflow operations.</w:t>
      </w:r>
    </w:p>
    <w:bookmarkEnd w:id="24"/>
    <w:bookmarkEnd w:id="25"/>
    <w:bookmarkStart w:id="27" w:name="the-academic-researcher-profile"/>
    <w:p>
      <w:pPr>
        <w:pStyle w:val="Heading2"/>
      </w:pPr>
      <w:r>
        <w:t xml:space="preserve">3.0 The Academic Researcher Profile</w:t>
      </w:r>
    </w:p>
    <w:p>
      <w:pPr>
        <w:pStyle w:val="FirstParagraph"/>
      </w:pPr>
      <w:r>
        <w:t xml:space="preserve">The role of the</w:t>
      </w:r>
      <w:r>
        <w:t xml:space="preserve"> </w:t>
      </w:r>
      <w:r>
        <w:rPr>
          <w:bCs/>
          <w:b/>
        </w:rPr>
        <w:t xml:space="preserve">A</w:t>
      </w:r>
    </w:p>
    <w:bookmarkStart w:id="26" w:name="primary-responsibilities"/>
    <w:p>
      <w:pPr>
        <w:pStyle w:val="Heading3"/>
      </w:pPr>
      <w:r>
        <w:t xml:space="preserve">3.1 Primary Responsibilities</w:t>
      </w:r>
    </w:p>
    <w:p>
      <w:pPr>
        <w:numPr>
          <w:ilvl w:val="0"/>
          <w:numId w:val="1001"/>
        </w:numPr>
        <w:pStyle w:val="Compact"/>
      </w:pPr>
      <w:r>
        <w:rPr>
          <w:bCs/>
          <w:b/>
        </w:rPr>
        <w:t xml:space="preserve">Publishing Output:</w:t>
      </w:r>
      <w:r>
        <w:t xml:space="preserve">The</w:t>
      </w:r>
    </w:p>
    <w:p>
      <w:pPr>
        <w:numPr>
          <w:ilvl w:val="0"/>
          <w:numId w:val="1000"/>
        </w:numPr>
        <w:pStyle w:val="Compact"/>
      </w:pPr>
      <w:r>
        <w:t xml:space="preserve">A</w:t>
      </w:r>
    </w:p>
    <w:p>
      <w:pPr>
        <w:numPr>
          <w:ilvl w:val="0"/>
          <w:numId w:val="1000"/>
        </w:numPr>
        <w:pStyle w:val="Compact"/>
      </w:pPr>
      <w:r>
        <w:t xml:space="preserve">Tokyo.</w:t>
      </w:r>
    </w:p>
    <w:p>
      <w:pPr>
        <w:numPr>
          <w:ilvl w:val="0"/>
          <w:numId w:val="1001"/>
        </w:numPr>
        <w:pStyle w:val="Compact"/>
      </w:pPr>
      <w:r>
        <w:t xml:space="preserve">Grant Acquisition:Funding competition in Japan is intense. The researcher must demonstrate proficiency in writing grant proposals that align with the strategic goals of Japanese funding bodies, such as JSPS (Japan Society for the Promotion of Science).</w:t>
      </w:r>
    </w:p>
    <w:p>
      <w:pPr>
        <w:numPr>
          <w:ilvl w:val="0"/>
          <w:numId w:val="1001"/>
        </w:numPr>
        <w:pStyle w:val="Compact"/>
      </w:pPr>
      <w:r>
        <w:rPr>
          <w:bCs/>
          <w:b/>
        </w:rPr>
        <w:t xml:space="preserve">Cultural Mediation:</w:t>
      </w:r>
      <w:r>
        <w:t xml:space="preserve">The &lt; strong&gt;A</w:t>
      </w:r>
    </w:p>
    <w:p>
      <w:pPr>
        <w:numPr>
          <w:ilvl w:val="0"/>
          <w:numId w:val="1000"/>
        </w:numPr>
        <w:pStyle w:val="Compact"/>
      </w:pPr>
      <w:r>
        <w:t xml:space="preserve">Tokyo, facilitating knowledge transfer and joint ventures.</w:t>
      </w:r>
    </w:p>
    <w:bookmarkEnd w:id="26"/>
    <w:bookmarkEnd w:id="27"/>
    <w:bookmarkStart w:id="30" w:name="navigating-the-tokyo-environment"/>
    <w:p>
      <w:pPr>
        <w:pStyle w:val="Heading2"/>
      </w:pPr>
      <w:r>
        <w:t xml:space="preserve">4.0 Navigating the Tokyo Environment</w:t>
      </w:r>
    </w:p>
    <w:p>
      <w:pPr>
        <w:pStyle w:val="FirstParagraph"/>
      </w:pPr>
      <w:r>
        <w:t xml:space="preserve">Succes as an academic researcher in Japan depends significantly on social integration and logistical preparedness. The laboratory report must highlight that technical skills alone are insufficient for long-term success.</w:t>
      </w:r>
    </w:p>
    <w:bookmarkStart w:id="28" w:name="language-proficiency"/>
    <w:p>
      <w:pPr>
        <w:pStyle w:val="Heading3"/>
      </w:pPr>
      <w:r>
        <w:t xml:space="preserve">4.1 Language Proficiency</w:t>
      </w:r>
    </w:p>
    <w:p>
      <w:pPr>
        <w:pStyle w:val="FirstParagraph"/>
      </w:pPr>
      <w:r>
        <w:rPr>
          <w:bCs/>
          <w:b/>
        </w:rPr>
        <w:t xml:space="preserve">Tokyo, while cosmopolitan, operates primarily on the Japanese language in day-to-day administrative and social interactions. An</w:t>
      </w:r>
      <w:r>
        <w:rPr>
          <w:bCs/>
          <w:b/>
        </w:rPr>
        <w:t xml:space="preserve"> </w:t>
      </w:r>
      <w:r>
        <w:rPr>
          <w:bCs/>
          <w:b/>
          <w:bCs/>
          <w:b/>
        </w:rPr>
        <w:t xml:space="preserve">A</w:t>
      </w:r>
    </w:p>
    <w:bookmarkEnd w:id="28"/>
    <w:bookmarkStart w:id="29" w:name="work-life-balance"/>
    <w:p>
      <w:pPr>
        <w:pStyle w:val="Heading3"/>
      </w:pPr>
      <w:r>
        <w:t xml:space="preserve">4.2 Work-Life Balance</w:t>
      </w:r>
    </w:p>
    <w:p>
      <w:pPr>
        <w:pStyle w:val="FirstParagraph"/>
      </w:pPr>
      <w:r>
        <w:t xml:space="preserve">The traditional work culture in Japan can involve long hours. However, modern research institutes in</w:t>
      </w:r>
    </w:p>
    <w:p>
      <w:pPr>
        <w:pStyle w:val="BodyText"/>
      </w:pPr>
      <w:r>
        <w:t xml:space="preserve">Tokyo are increasingly adopting policies to support work-life balance for international staff. The</w:t>
      </w:r>
    </w:p>
    <w:p>
      <w:pPr>
        <w:pStyle w:val="BodyText"/>
      </w:pPr>
      <w:r>
        <w:t xml:space="preserve">A</w:t>
      </w:r>
    </w:p>
    <w:bookmarkEnd w:id="29"/>
    <w:bookmarkEnd w:id="30"/>
    <w:bookmarkStart w:id="31" w:name="recommendations"/>
    <w:p>
      <w:pPr>
        <w:pStyle w:val="Heading2"/>
      </w:pPr>
      <w:r>
        <w:t xml:space="preserve">5.0 Recommendations</w:t>
      </w:r>
    </w:p>
    <w:p>
      <w:pPr>
        <w:pStyle w:val="FirstParagraph"/>
      </w:pPr>
      <w:r>
        <w:t xml:space="preserve">To facilitate a seamless transition for the new faculty member, we recommend the following steps prior to arrival in Tokyo:</w:t>
      </w:r>
    </w:p>
    <w:p>
      <w:pPr>
        <w:numPr>
          <w:ilvl w:val="0"/>
          <w:numId w:val="1002"/>
        </w:numPr>
        <w:pStyle w:val="Compact"/>
      </w:pPr>
      <w:r>
        <w:t xml:space="preserve">Safety Orientation:Conduct a virtual tour of the laboratory facilities in</w:t>
      </w:r>
    </w:p>
    <w:p>
      <w:pPr>
        <w:numPr>
          <w:ilvl w:val="0"/>
          <w:numId w:val="1000"/>
        </w:numPr>
        <w:pStyle w:val="Compact"/>
      </w:pPr>
      <w:r>
        <w:t xml:space="preserve">Tokyo to identify any specific safety protocols unique to Japanese laboratories.</w:t>
      </w:r>
    </w:p>
    <w:p>
      <w:pPr>
        <w:numPr>
          <w:ilvl w:val="0"/>
          <w:numId w:val="1002"/>
        </w:numPr>
        <w:pStyle w:val="Compact"/>
      </w:pPr>
      <w:r>
        <w:t xml:space="preserve">Cultural Training:Enroll in cross-cultural communication workshops focusing on Japanese business etiquette and academic hierarchy.</w:t>
      </w:r>
    </w:p>
    <w:bookmarkEnd w:id="31"/>
    <w:bookmarkStart w:id="32" w:name="conclusion"/>
    <w:p>
      <w:pPr>
        <w:pStyle w:val="Heading2"/>
      </w:pPr>
      <w:r>
        <w:t xml:space="preserve">6.0 Conclusion</w:t>
      </w:r>
    </w:p>
    <w:p>
      <w:pPr>
        <w:pStyle w:val="FirstParagraph"/>
      </w:pPr>
      <w:r>
        <w:t xml:space="preserve">This laboratory report underscores the complexity and richness of deploying an Academic Researcher to Tokyo, Japan. The intersection of advanced technological infrastructure and deep-rooted cultural traditions creates a unique environment for scientific inquiry.</w:t>
      </w:r>
    </w:p>
    <w:p>
      <w:pPr>
        <w:pStyle w:val="BodyText"/>
      </w:pPr>
      <w:r>
        <w:t xml:space="preserve">A</w:t>
      </w:r>
    </w:p>
    <w:p>
      <w:pPr>
        <w:pStyle w:val="BodyText"/>
      </w:pPr>
      <w:r>
        <w:t xml:space="preserve">Tokyo will undoubtedly contribute significantly to their field.</w:t>
      </w:r>
    </w:p>
    <w:p>
      <w:pPr>
        <w:pStyle w:val="BodyText"/>
      </w:pPr>
      <w:r>
        <w:t xml:space="preserve">We conclude that thorough preparation, respect for local customs, and proactive engagement are the keys to success. By adhering to the guidelines outlined in this document, institutions can ensure that their researchers not only survive but thrive in the vibrant academic landscape of Japan.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Researcher Deployment in Japan, Tokyo</dc:title>
  <dc:creator/>
  <dc:language>en</dc:language>
  <cp:keywords/>
  <dcterms:created xsi:type="dcterms:W3CDTF">2026-07-29T14:49:32Z</dcterms:created>
  <dcterms:modified xsi:type="dcterms:W3CDTF">2026-07-29T14:49:32Z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