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Kuwait</w:t>
      </w:r>
      <w:r>
        <w:t xml:space="preserve"> </w:t>
      </w:r>
      <w:r>
        <w:t xml:space="preserve">City</w:t>
      </w:r>
    </w:p>
    <w:bookmarkStart w:id="20" w:name="X907946065d4a988d3463e2af8ca63ac1109d7c6"/>
    <w:p>
      <w:pPr>
        <w:pStyle w:val="Heading1"/>
      </w:pPr>
      <w:r>
        <w:t xml:space="preserve">Laboratory Report and Academic Evaluation Profile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and Scientific Research</w:t>
      </w:r>
      <w:r>
        <w:br/>
      </w:r>
      <w:r>
        <w:rPr>
          <w:bCs/>
          <w:b/>
        </w:rPr>
        <w:t xml:space="preserve">From:</w:t>
      </w:r>
      <w:r>
        <w:t xml:space="preserve"> </w:t>
      </w:r>
      <w:r>
        <w:t xml:space="preserve">Institutional Review Board</w:t>
      </w:r>
      <w:r>
        <w:br/>
      </w:r>
    </w:p>
    <w:bookmarkEnd w:id="20"/>
    <w:bookmarkStart w:id="21" w:name="i.-executive-summary-and-objective"/>
    <w:p>
      <w:pPr>
        <w:pStyle w:val="Heading2"/>
      </w:pPr>
      <w:r>
        <w:t xml:space="preserve">I. Executive Summary and Objective</w:t>
      </w:r>
    </w:p>
    <w:p>
      <w:pPr>
        <w:pStyle w:val="FirstParagraph"/>
      </w:pPr>
      <w:r>
        <w:t xml:space="preserve">This document serves as a comprehensive Lab Report detailing the operational, intellectual, and environmental parameters defining an</w:t>
      </w:r>
      <w:r>
        <w:t xml:space="preserve"> </w:t>
      </w:r>
      <w:r>
        <w:rPr>
          <w:bCs/>
          <w:b/>
        </w:rPr>
        <w:t xml:space="preserve">Academic Researcher</w:t>
      </w:r>
      <w:r>
        <w:t xml:space="preserve"> </w:t>
      </w:r>
      <w:r>
        <w:t xml:space="preserve">situated in the specific geographic and cultural context of</w:t>
      </w:r>
      <w:r>
        <w:t xml:space="preserve"> </w:t>
      </w:r>
      <w:r>
        <w:rPr>
          <w:bCs/>
          <w:b/>
        </w:rPr>
        <w:t xml:space="preserve">Kuwait Kuwait City</w:t>
      </w:r>
      <w:r>
        <w:t xml:space="preserve">. The primary objective of this report is to analyze how the unique socio-economic landscape of</w:t>
      </w:r>
      <w:r>
        <w:t xml:space="preserve"> </w:t>
      </w:r>
      <w:r>
        <w:rPr>
          <w:bCs/>
          <w:b/>
        </w:rPr>
        <w:t xml:space="preserve">Kuwait City</w:t>
      </w:r>
      <w:r>
        <w:t xml:space="preserve"> </w:t>
      </w:r>
      <w:r>
        <w:t xml:space="preserve">influences research methodologies, academic output, and institutional collaboration. By treating the role of an</w:t>
      </w:r>
      <w:r>
        <w:t xml:space="preserve"> </w:t>
      </w:r>
      <w:r>
        <w:rPr>
          <w:iCs/>
          <w:i/>
        </w:rPr>
        <w:t xml:space="preserve">Academic Researcher</w:t>
      </w:r>
      <w:r>
        <w:t xml:space="preserve"> </w:t>
      </w:r>
      <w:r>
        <w:t xml:space="preserve">as a variable within a controlled environmental study, we can better understand the mechanisms driving innovation in this region.</w:t>
      </w:r>
    </w:p>
    <w:p>
      <w:pPr>
        <w:pStyle w:val="BodyText"/>
      </w:pPr>
      <w:r>
        <w:t xml:space="preserve">The scope of this investigation covers interdisciplinary fields ranging from environmental science to social humanities, all critical to the development vision outlined for</w:t>
      </w:r>
      <w:r>
        <w:t xml:space="preserve"> </w:t>
      </w:r>
      <w:r>
        <w:rPr>
          <w:bCs/>
          <w:b/>
        </w:rPr>
        <w:t xml:space="preserve">Kuwait City</w:t>
      </w:r>
      <w:r>
        <w:t xml:space="preserve">. This report aims to establish a baseline for evaluating research efficacy and identifying areas where policy interventions can enhance the productivity of</w:t>
      </w:r>
      <w:r>
        <w:t xml:space="preserve"> </w:t>
      </w:r>
      <w:r>
        <w:rPr>
          <w:iCs/>
          <w:i/>
        </w:rPr>
        <w:t xml:space="preserve">Academic Researchers</w:t>
      </w:r>
      <w:r>
        <w:t xml:space="preserve">.</w:t>
      </w:r>
    </w:p>
    <w:bookmarkEnd w:id="21"/>
    <w:bookmarkStart w:id="22" w:name="X1432fe41349d2b6503caedb43b965d4786f9f71"/>
    <w:p>
      <w:pPr>
        <w:pStyle w:val="Heading2"/>
      </w:pPr>
      <w:r>
        <w:t xml:space="preserve">II. Contextual Environment: The Kuwait City Variable</w:t>
      </w:r>
    </w:p>
    <w:p>
      <w:pPr>
        <w:pStyle w:val="FirstParagraph"/>
      </w:pPr>
      <w:r>
        <w:t xml:space="preserve">The location parameter, designated here as</w:t>
      </w:r>
      <w:r>
        <w:t xml:space="preserve"> </w:t>
      </w:r>
      <w:r>
        <w:rPr>
          <w:bCs/>
          <w:b/>
        </w:rPr>
        <w:t xml:space="preserve">Kuwait Kuwait City</w:t>
      </w:r>
      <w:r>
        <w:t xml:space="preserve">, presents a distinct set of challenges and opportunities for any</w:t>
      </w:r>
      <w:r>
        <w:t xml:space="preserve"> </w:t>
      </w:r>
      <w:r>
        <w:rPr>
          <w:iCs/>
          <w:i/>
        </w:rPr>
        <w:t xml:space="preserve">Academic Researcher</w:t>
      </w:r>
      <w:r>
        <w:t xml:space="preserve">. As the capital and economic hub, this city acts as the central nervous system for intellectual activity in the nation. The urban density, coupled with a rapidly modernizing infrastructure, creates a dynamic laboratory for sociological and engineering research.</w:t>
      </w:r>
    </w:p>
    <w:p>
      <w:pPr>
        <w:pStyle w:val="BodyText"/>
      </w:pPr>
      <w:r>
        <w:t xml:space="preserve">Furthermore,</w:t>
      </w:r>
      <w:r>
        <w:t xml:space="preserve"> </w:t>
      </w:r>
      <w:r>
        <w:rPr>
          <w:bCs/>
          <w:b/>
        </w:rPr>
        <w:t xml:space="preserve">Kuwait City</w:t>
      </w:r>
      <w:r>
        <w:t xml:space="preserve"> </w:t>
      </w:r>
      <w:r>
        <w:t xml:space="preserve">is characterized by a high degree of multicultural interaction due to its status as an international business hub. For the</w:t>
      </w:r>
      <w:r>
        <w:t xml:space="preserve"> </w:t>
      </w:r>
      <w:r>
        <w:rPr>
          <w:iCs/>
          <w:i/>
        </w:rPr>
        <w:t xml:space="preserve">Academic Researcher</w:t>
      </w:r>
      <w:r>
        <w:t xml:space="preserve">, this offers rich data sources regarding cross-cultural communication, labor market dynamics, and urban planning. However, the climatic conditions of</w:t>
      </w:r>
      <w:r>
        <w:t xml:space="preserve"> </w:t>
      </w:r>
      <w:r>
        <w:rPr>
          <w:bCs/>
          <w:b/>
        </w:rPr>
        <w:t xml:space="preserve">Kuwait City</w:t>
      </w:r>
      <w:r>
        <w:t xml:space="preserve">—specifically extreme summer temperatures—also necessitate specialized research approaches in environmental engineering and public health.</w:t>
      </w:r>
    </w:p>
    <w:bookmarkEnd w:id="22"/>
    <w:bookmarkStart w:id="23" w:name="iii.-profile-of-the-academic-researcher"/>
    <w:p>
      <w:pPr>
        <w:pStyle w:val="Heading2"/>
      </w:pPr>
      <w:r>
        <w:t xml:space="preserve">III. Profile of the Academic Researcher</w:t>
      </w:r>
    </w:p>
    <w:p>
      <w:pPr>
        <w:pStyle w:val="FirstParagraph"/>
      </w:pPr>
      <w:r>
        <w:t xml:space="preserve">An</w:t>
      </w:r>
      <w:r>
        <w:t xml:space="preserve"> </w:t>
      </w:r>
      <w:r>
        <w:rPr>
          <w:iCs/>
          <w:i/>
        </w:rPr>
        <w:t xml:space="preserve">Academic Researcher</w:t>
      </w:r>
      <w:r>
        <w:t xml:space="preserve">, by definition, is a scholar engaged in the creation of new knowledge. In the context of this report, we define this role not merely by their title but by their output metrics and intellectual contributions. The typical profile includes:</w:t>
      </w:r>
    </w:p>
    <w:p>
      <w:pPr>
        <w:numPr>
          <w:ilvl w:val="0"/>
          <w:numId w:val="1001"/>
        </w:numPr>
        <w:pStyle w:val="Compact"/>
      </w:pPr>
      <w:r>
        <w:rPr>
          <w:bCs/>
          <w:b/>
        </w:rPr>
        <w:t xml:space="preserve">Critical Thinking Abilities:</w:t>
      </w:r>
      <w:r>
        <w:t xml:space="preserve"> </w:t>
      </w:r>
      <w:r>
        <w:t xml:space="preserve">The capacity to deconstruct complex problems inherent to</w:t>
      </w:r>
      <w:r>
        <w:t xml:space="preserve"> </w:t>
      </w:r>
      <w:r>
        <w:rPr>
          <w:bCs/>
          <w:b/>
        </w:rPr>
        <w:t xml:space="preserve">Kuwait City</w:t>
      </w:r>
      <w:r>
        <w:t xml:space="preserve">'s development.</w:t>
      </w:r>
    </w:p>
    <w:p>
      <w:pPr>
        <w:numPr>
          <w:ilvl w:val="0"/>
          <w:numId w:val="1001"/>
        </w:numPr>
        <w:pStyle w:val="Compact"/>
      </w:pPr>
      <w:r>
        <w:rPr>
          <w:bCs/>
          <w:b/>
        </w:rPr>
        <w:t xml:space="preserve">Data Proficiency:</w:t>
      </w:r>
      <w:r>
        <w:t xml:space="preserve"> </w:t>
      </w:r>
      <w:r>
        <w:t xml:space="preserve">Mastery of quantitative and qualitative analysis tools.</w:t>
      </w:r>
    </w:p>
    <w:p>
      <w:pPr>
        <w:numPr>
          <w:ilvl w:val="0"/>
          <w:numId w:val="1001"/>
        </w:numPr>
        <w:pStyle w:val="Compact"/>
      </w:pPr>
      <w:r>
        <w:rPr>
          <w:bCs/>
          <w:b/>
        </w:rPr>
        <w:t xml:space="preserve">Ethical Adherence:</w:t>
      </w:r>
      <w:r>
        <w:t xml:space="preserve">: Strict compliance with international research ethics and local cultural norms prevalent in the region.</w:t>
      </w:r>
    </w:p>
    <w:p>
      <w:pPr>
        <w:pStyle w:val="FirstParagraph"/>
      </w:pPr>
      <w:r>
        <w:t xml:space="preserve">The</w:t>
      </w:r>
      <w:r>
        <w:t xml:space="preserve"> </w:t>
      </w:r>
      <w:r>
        <w:rPr>
          <w:iCs/>
          <w:i/>
        </w:rPr>
        <w:t xml:space="preserve">Academic Researcher</w:t>
      </w:r>
      <w:r>
        <w:t xml:space="preserve"> </w:t>
      </w:r>
      <w:r>
        <w:t xml:space="preserve">operates within a network of universities such as Kuwait University and private institutions, all anchored in or near</w:t>
      </w:r>
      <w:r>
        <w:t xml:space="preserve"> </w:t>
      </w:r>
      <w:r>
        <w:rPr>
          <w:bCs/>
          <w:b/>
        </w:rPr>
        <w:t xml:space="preserve">Kuwiat City</w:t>
      </w:r>
      <w:r>
        <w:t xml:space="preserve">. Their work is often funded by government grants aimed at reducing oil dependency, aligning personal academic goals with national strategic interests.</w:t>
      </w:r>
    </w:p>
    <w:bookmarkEnd w:id="23"/>
    <w:bookmarkStart w:id="24" w:name="X733f2ae4dcc46feb276e1803da6e228de2d474b"/>
    <w:p>
      <w:pPr>
        <w:pStyle w:val="Heading2"/>
      </w:pPr>
      <w:r>
        <w:t xml:space="preserve">IV. Methodological Analysis and Data Collection</w:t>
      </w:r>
    </w:p>
    <w:p>
      <w:pPr>
        <w:pStyle w:val="FirstParagraph"/>
      </w:pPr>
      <w:r>
        <w:t xml:space="preserve">To assess the efficacy of the</w:t>
      </w:r>
      <w:r>
        <w:t xml:space="preserve"> </w:t>
      </w:r>
      <w:r>
        <w:rPr>
          <w:iCs/>
          <w:i/>
        </w:rPr>
        <w:t xml:space="preserve">Academic Researcher</w:t>
      </w:r>
      <w:r>
        <w:t xml:space="preserve">, this Lab Report employs a mixed-methods approach. Data was collected through interviews with senior scholars, bibliometric analysis of publications originating from</w:t>
      </w:r>
      <w:r>
        <w:t xml:space="preserve"> </w:t>
      </w:r>
      <w:r>
        <w:rPr>
          <w:bCs/>
          <w:b/>
        </w:rPr>
        <w:t xml:space="preserve">Kuwait Kuwait City</w:t>
      </w:r>
      <w:r>
        <w:t xml:space="preserve">, and observational studies of research labs within major educational facilities.</w:t>
      </w:r>
    </w:p>
    <w:p>
      <w:pPr>
        <w:pStyle w:val="BodyText"/>
      </w:pPr>
      <w:r>
        <w:rPr>
          <w:bCs/>
          <w:b/>
        </w:rPr>
        <w:t xml:space="preserve">Key Performance Indicators (KPIs) Evaluated:</w:t>
      </w:r>
    </w:p>
    <w:p>
      <w:pPr>
        <w:pStyle w:val="BodyText"/>
      </w:pPr>
      <w:r>
        <w:t xml:space="preserve">Metric</w:t>
      </w:r>
    </w:p>
    <w:bookmarkEnd w:id="24"/>
    <w:p>
      <w:pPr>
        <w:pStyle w:val="BodyText"/>
      </w:pPr>
      <w:r>
        <w:t xml:space="preserve">Description</w:t>
      </w:r>
    </w:p>
    <w:p>
      <w:pPr>
        <w:pStyle w:val="BodyText"/>
      </w:pPr>
      <w:r>
        <w:t xml:space="preserve">Status in Kuwait City Context</w:t>
      </w:r>
    </w:p>
    <w:p>
      <w:pPr>
        <w:pStyle w:val="BodyText"/>
      </w:pPr>
      <w:r>
        <w:t xml:space="preserve">Publication Rate</w:t>
      </w:r>
    </w:p>
    <w:p>
      <w:pPr>
        <w:pStyle w:val="BodyText"/>
      </w:pPr>
      <w:r>
        <w:t xml:space="preserve">Scopus-indexed papers per year.</w:t>
      </w:r>
    </w:p>
    <w:p>
      <w:pPr>
        <w:pStyle w:val="BodyText"/>
      </w:pPr>
      <w:r>
        <w:t xml:space="preserve">High, with a noted increase in environmental studies.</w:t>
      </w:r>
    </w:p>
    <w:p>
      <w:pPr>
        <w:pStyle w:val="BodyText"/>
      </w:pPr>
      <w:r>
        <w:t xml:space="preserve">Citation Impact</w:t>
      </w:r>
    </w:p>
    <w:p>
      <w:pPr>
        <w:pStyle w:val="BodyText"/>
      </w:pPr>
      <w:r>
        <w:t xml:space="preserve">Influence of research on global academic discourse.</w:t>
      </w:r>
    </w:p>
    <w:p>
      <w:pPr>
        <w:pStyle w:val="BodyText"/>
      </w:pPr>
      <w:r>
        <w:t xml:space="preserve">Moderate to High in engineering fields.</w:t>
      </w:r>
    </w:p>
    <w:p>
      <w:pPr>
        <w:pStyle w:val="BodyText"/>
      </w:pPr>
      <w:r>
        <w:t xml:space="preserve">Funding Acquisition</w:t>
      </w:r>
    </w:p>
    <w:p>
      <w:pPr>
        <w:pStyle w:val="BodyText"/>
      </w:pPr>
      <w:r>
        <w:t xml:space="preserve">Success rate in securing national and international grants.</w:t>
      </w:r>
    </w:p>
    <w:p>
      <w:pPr>
        <w:pStyle w:val="BodyText"/>
      </w:pPr>
      <w:r>
        <w:t xml:space="preserve">Strong alignment with Vision 2035 goals.</w:t>
      </w:r>
    </w:p>
    <w:bookmarkStart w:id="25" w:name="v.-challenges-and-obstacles-identified"/>
    <w:p>
      <w:pPr>
        <w:pStyle w:val="Heading2"/>
      </w:pPr>
      <w:r>
        <w:t xml:space="preserve">V. Challenges and Obstacles Identified</w:t>
      </w:r>
    </w:p>
    <w:p>
      <w:pPr>
        <w:pStyle w:val="FirstParagraph"/>
      </w:pPr>
      <w:r>
        <w:t xml:space="preserve">Despite the high caliber of work produced by</w:t>
      </w:r>
      <w:r>
        <w:t xml:space="preserve"> </w:t>
      </w:r>
      <w:r>
        <w:rPr>
          <w:iCs/>
          <w:i/>
        </w:rPr>
        <w:t xml:space="preserve">Academic Researchers</w:t>
      </w:r>
      <w:r>
        <w:t xml:space="preserve">, several bottlenecks were identified in this report.</w:t>
      </w:r>
    </w:p>
    <w:p>
      <w:pPr>
        <w:numPr>
          <w:ilvl w:val="0"/>
          <w:numId w:val="1002"/>
        </w:numPr>
        <w:pStyle w:val="Compact"/>
      </w:pPr>
      <w:r>
        <w:rPr>
          <w:bCs/>
          <w:b/>
        </w:rPr>
        <w:t xml:space="preserve">Bureaucratic Hurdles:</w:t>
      </w:r>
      <w:r>
        <w:t xml:space="preserve"> </w:t>
      </w:r>
      <w:r>
        <w:t xml:space="preserve">Procurement processes for laboratory equipment in</w:t>
      </w:r>
      <w:r>
        <w:t xml:space="preserve"> </w:t>
      </w:r>
      <w:r>
        <w:rPr>
          <w:bCs/>
          <w:b/>
        </w:rPr>
        <w:t xml:space="preserve">Kuwait Kuwait City</w:t>
      </w:r>
      <w:r>
        <w:t xml:space="preserve"> </w:t>
      </w:r>
      <w:r>
        <w:t xml:space="preserve">can be slow, impacting the timeline of experimental research. This delays data collection phases significantly.</w:t>
      </w:r>
    </w:p>
    <w:p>
      <w:pPr>
        <w:numPr>
          <w:ilvl w:val="0"/>
          <w:numId w:val="1002"/>
        </w:numPr>
        <w:pStyle w:val="Compact"/>
      </w:pPr>
      <w:r>
        <w:rPr>
          <w:bCs/>
          <w:b/>
        </w:rPr>
        <w:t xml:space="preserve">Cultural Barriers in Collaboration:</w:t>
      </w:r>
      <w:r>
        <w:t xml:space="preserve"> </w:t>
      </w:r>
      <w:r>
        <w:t xml:space="preserve">While internal collaboration is strong, cross-border academic partnerships sometimes face administrative friction. Enhancing digital infrastructure could mitigate this for researchers based in the city.</w:t>
      </w:r>
    </w:p>
    <w:p>
      <w:pPr>
        <w:numPr>
          <w:ilvl w:val="0"/>
          <w:numId w:val="1002"/>
        </w:numPr>
        <w:pStyle w:val="Compact"/>
      </w:pPr>
      <w:r>
        <w:rPr>
          <w:bCs/>
          <w:b/>
        </w:rPr>
        <w:t xml:space="preserve">Language Nuances:</w:t>
      </w:r>
      <w:r>
        <w:t xml:space="preserve"> </w:t>
      </w:r>
      <w:r>
        <w:t xml:space="preserve">Although English is the primary language of science, balancing local Arabic terminology with international standards requires careful attention from</w:t>
      </w:r>
      <w:r>
        <w:t xml:space="preserve"> </w:t>
      </w:r>
      <w:r>
        <w:rPr>
          <w:iCs/>
          <w:i/>
        </w:rPr>
        <w:t xml:space="preserve">Academic Researchers</w:t>
      </w:r>
      <w:r>
        <w:t xml:space="preserve"> </w:t>
      </w:r>
      <w:r>
        <w:t xml:space="preserve">to ensure accurate global representation of local data.</w:t>
      </w:r>
    </w:p>
    <w:bookmarkEnd w:id="25"/>
    <w:bookmarkStart w:id="26" w:name="Xfdb5ead13091c02b43abb5f59c3c7902021d971"/>
    <w:p>
      <w:pPr>
        <w:pStyle w:val="Heading2"/>
      </w:pPr>
      <w:r>
        <w:t xml:space="preserve">VI. Strategic Recommendations for Optimization</w:t>
      </w:r>
    </w:p>
    <w:p>
      <w:pPr>
        <w:pStyle w:val="FirstParagraph"/>
      </w:pPr>
      <w:r>
        <w:t xml:space="preserve">Based on the findings presented in this Lab Report, the following recommendations are proposed to empower the</w:t>
      </w:r>
      <w:r>
        <w:t xml:space="preserve"> </w:t>
      </w:r>
      <w:r>
        <w:rPr>
          <w:iCs/>
          <w:i/>
        </w:rPr>
        <w:t xml:space="preserve">Academic Researcher</w:t>
      </w:r>
      <w:r>
        <w:t xml:space="preserve"> </w:t>
      </w:r>
      <w:r>
        <w:t xml:space="preserve">in</w:t>
      </w:r>
      <w:r>
        <w:t xml:space="preserve"> </w:t>
      </w:r>
      <w:r>
        <w:rPr>
          <w:bCs/>
          <w:b/>
        </w:rPr>
        <w:t xml:space="preserve">Kuwait Kuwait City</w:t>
      </w:r>
      <w:r>
        <w:t xml:space="preserve">:</w:t>
      </w:r>
    </w:p>
    <w:p>
      <w:pPr>
        <w:numPr>
          <w:ilvl w:val="0"/>
          <w:numId w:val="1003"/>
        </w:numPr>
        <w:pStyle w:val="Compact"/>
      </w:pPr>
      <w:r>
        <w:rPr>
          <w:bCs/>
          <w:b/>
        </w:rPr>
        <w:t xml:space="preserve">Digital Infrastructure Investment:</w:t>
      </w:r>
      <w:r>
        <w:t xml:space="preserve"> </w:t>
      </w:r>
      <w:r>
        <w:t xml:space="preserve">Upgrade high-performance computing facilities to allow for advanced simulation work without physical hardware limitations, crucial for researchers dealing with climate data specific to the Gulf region.</w:t>
      </w:r>
    </w:p>
    <w:p>
      <w:pPr>
        <w:numPr>
          <w:ilvl w:val="0"/>
          <w:numId w:val="1003"/>
        </w:numPr>
        <w:pStyle w:val="Compact"/>
      </w:pPr>
      <w:r>
        <w:rPr>
          <w:bCs/>
          <w:b/>
        </w:rPr>
        <w:t xml:space="preserve">Streamlined Grant Processes:</w:t>
      </w:r>
      <w:r>
        <w:t xml:space="preserve"> </w:t>
      </w:r>
      <w:r>
        <w:t xml:space="preserve">Create a dedicated fast-track review committee within the Ministry of Higher Education specifically for interdisciplinary projects that benefit</w:t>
      </w:r>
      <w:r>
        <w:t xml:space="preserve"> </w:t>
      </w:r>
      <w:r>
        <w:rPr>
          <w:bCs/>
          <w:b/>
        </w:rPr>
        <w:t xml:space="preserve">Kuwait Kuwait City</w:t>
      </w:r>
      <w:r>
        <w:t xml:space="preserve">'s urban development.</w:t>
      </w:r>
    </w:p>
    <w:p>
      <w:pPr>
        <w:numPr>
          <w:ilvl w:val="0"/>
          <w:numId w:val="1003"/>
        </w:numPr>
        <w:pStyle w:val="Compact"/>
      </w:pPr>
      <w:r>
        <w:rPr>
          <w:bCs/>
          <w:b/>
        </w:rPr>
        <w:t xml:space="preserve">International Exchange Programs:</w:t>
      </w:r>
      <w:r>
        <w:t xml:space="preserve"> </w:t>
      </w:r>
      <w:r>
        <w:t xml:space="preserve">Facilitate more sabbaticals and joint appointments with universities in Europe and North America. This exposes</w:t>
      </w:r>
      <w:r>
        <w:t xml:space="preserve"> </w:t>
      </w:r>
      <w:r>
        <w:rPr>
          <w:iCs/>
          <w:i/>
        </w:rPr>
        <w:t xml:space="preserve">Academic Researchers</w:t>
      </w:r>
      <w:r>
        <w:t xml:space="preserve"> </w:t>
      </w:r>
      <w:r>
        <w:t xml:space="preserve">to new methodologies while bringing global prestige back to institutions in</w:t>
      </w:r>
      <w:r>
        <w:t xml:space="preserve"> </w:t>
      </w:r>
      <w:r>
        <w:rPr>
          <w:bCs/>
          <w:b/>
        </w:rPr>
        <w:t xml:space="preserve">Kuwait City</w:t>
      </w:r>
      <w:r>
        <w:t xml:space="preserve">.</w:t>
      </w:r>
    </w:p>
    <w:p>
      <w:pPr>
        <w:numPr>
          <w:ilvl w:val="0"/>
          <w:numId w:val="1003"/>
        </w:numPr>
        <w:pStyle w:val="Compact"/>
      </w:pPr>
      <w:r>
        <w:rPr>
          <w:bCs/>
          <w:b/>
        </w:rPr>
        <w:t xml:space="preserve">Industry-Academia Linkage:</w:t>
      </w:r>
      <w:r>
        <w:t xml:space="preserve"> </w:t>
      </w:r>
      <w:r>
        <w:t xml:space="preserve">Establish formal incubators where ideas generated by</w:t>
      </w:r>
      <w:r>
        <w:t xml:space="preserve"> </w:t>
      </w:r>
      <w:r>
        <w:rPr>
          <w:iCs/>
          <w:i/>
        </w:rPr>
        <w:t xml:space="preserve">Academic Researchers</w:t>
      </w:r>
      <w:r>
        <w:t xml:space="preserve"> </w:t>
      </w:r>
      <w:r>
        <w:t xml:space="preserve">can be tested and commercialized locally, directly contributing to the economy of</w:t>
      </w:r>
      <w:r>
        <w:t xml:space="preserve"> </w:t>
      </w:r>
      <w:r>
        <w:rPr>
          <w:bCs/>
          <w:b/>
        </w:rPr>
        <w:t xml:space="preserve">Kuwait Kuwait City</w:t>
      </w:r>
      <w:r>
        <w:t xml:space="preserve">.</w:t>
      </w:r>
    </w:p>
    <w:bookmarkEnd w:id="26"/>
    <w:bookmarkStart w:id="27" w:name="vii.-conclusion-and-future-outlook"/>
    <w:p>
      <w:pPr>
        <w:pStyle w:val="Heading2"/>
      </w:pPr>
      <w:r>
        <w:t xml:space="preserve">VII. Conclusion and Future Outlook</w:t>
      </w:r>
    </w:p>
    <w:p>
      <w:pPr>
        <w:pStyle w:val="FirstParagraph"/>
      </w:pPr>
      <w:r>
        <w:t xml:space="preserve">This Lab Report confirms that the</w:t>
      </w:r>
      <w:r>
        <w:t xml:space="preserve"> </w:t>
      </w:r>
      <w:r>
        <w:rPr>
          <w:iCs/>
          <w:i/>
        </w:rPr>
        <w:t xml:space="preserve">Academic Researcher</w:t>
      </w:r>
      <w:r>
        <w:t xml:space="preserve"> </w:t>
      </w:r>
      <w:r>
        <w:t xml:space="preserve">is a pivotal asset in the ongoing transformation of</w:t>
      </w:r>
      <w:r>
        <w:t xml:space="preserve"> </w:t>
      </w:r>
      <w:r>
        <w:rPr>
          <w:bCs/>
          <w:b/>
        </w:rPr>
        <w:t xml:space="preserve">Kuwait Kuwait City</w:t>
      </w:r>
      <w:r>
        <w:t xml:space="preserve">. The intellectual capital generated by these scholars drives innovation across multiple sectors, from energy sustainability to social policy. While challenges exist, particularly regarding administrative efficiency and international connectivity, the potential for growth is substantial.</w:t>
      </w:r>
    </w:p>
    <w:p>
      <w:pPr>
        <w:pStyle w:val="BodyText"/>
      </w:pPr>
      <w:r>
        <w:t xml:space="preserve">The symbiotic relationship between the</w:t>
      </w:r>
      <w:r>
        <w:t xml:space="preserve"> </w:t>
      </w:r>
      <w:r>
        <w:rPr>
          <w:iCs/>
          <w:i/>
        </w:rPr>
        <w:t xml:space="preserve">Academic Researcher</w:t>
      </w:r>
      <w:r>
        <w:t xml:space="preserve"> </w:t>
      </w:r>
      <w:r>
        <w:t xml:space="preserve">and their environment in</w:t>
      </w:r>
      <w:r>
        <w:t xml:space="preserve"> </w:t>
      </w:r>
      <w:r>
        <w:rPr>
          <w:bCs/>
          <w:b/>
        </w:rPr>
        <w:t xml:space="preserve">Kuwait Kuwait City</w:t>
      </w:r>
      <w:r>
        <w:t xml:space="preserve"> </w:t>
      </w:r>
      <w:r>
        <w:t xml:space="preserve">is mutually beneficial. The city provides a vibrant, resource-rich setting for inquiry, while the researcher provides the analytical rigor necessary to solve local problems. Future reports will focus on longitudinal studies of specific research projects initiated under this framework.</w:t>
      </w:r>
    </w:p>
    <w:p>
      <w:pPr>
        <w:pStyle w:val="BodyText"/>
      </w:pPr>
      <w:r>
        <w:t xml:space="preserve">In summary, to maximize the output of any</w:t>
      </w:r>
      <w:r>
        <w:t xml:space="preserve"> </w:t>
      </w:r>
      <w:r>
        <w:rPr>
          <w:iCs/>
          <w:i/>
        </w:rPr>
        <w:t xml:space="preserve">Academic Researcher</w:t>
      </w:r>
      <w:r>
        <w:t xml:space="preserve">, continuous support structures must be maintained. The identity of being a scholar in</w:t>
      </w:r>
      <w:r>
        <w:t xml:space="preserve"> </w:t>
      </w:r>
      <w:r>
        <w:rPr>
          <w:bCs/>
          <w:b/>
        </w:rPr>
        <w:t xml:space="preserve">Kuwait Kuwait City</w:t>
      </w:r>
      <w:r>
        <w:t xml:space="preserve"> </w:t>
      </w:r>
      <w:r>
        <w:t xml:space="preserve">carries both responsibility and prestige. By addressing the identified gaps in resources and policy, the city can solidify its status as a regional hub for academic excellence.</w:t>
      </w:r>
    </w:p>
    <w:bookmarkEnd w:id="27"/>
    <w:bookmarkStart w:id="28" w:name="viii.-references-and-appendices"/>
    <w:p>
      <w:pPr>
        <w:pStyle w:val="Heading2"/>
      </w:pPr>
      <w:r>
        <w:t xml:space="preserve">VIII. References and Appendices</w:t>
      </w:r>
    </w:p>
    <w:p>
      <w:pPr>
        <w:numPr>
          <w:ilvl w:val="0"/>
          <w:numId w:val="1004"/>
        </w:numPr>
        <w:pStyle w:val="Compact"/>
      </w:pPr>
      <w:r>
        <w:t xml:space="preserve">National Vision 2035 Development Plan Documents.</w:t>
      </w:r>
    </w:p>
    <w:p>
      <w:pPr>
        <w:numPr>
          <w:ilvl w:val="0"/>
          <w:numId w:val="1004"/>
        </w:numPr>
        <w:pStyle w:val="Compact"/>
      </w:pPr>
      <w:r>
        <w:t xml:space="preserve">Kuwait University Strategic Research Initiatives Report (Annual).</w:t>
      </w:r>
    </w:p>
    <w:p>
      <w:pPr>
        <w:numPr>
          <w:ilvl w:val="0"/>
          <w:numId w:val="1004"/>
        </w:numPr>
        <w:pStyle w:val="Compact"/>
      </w:pPr>
      <w:r>
        <w:t xml:space="preserve">Bibliometric Data from Scopus Database (Filtered for Kuwait City Affiliations).</w:t>
      </w:r>
    </w:p>
    <w:p>
      <w:pPr>
        <w:numPr>
          <w:ilvl w:val="0"/>
          <w:numId w:val="1004"/>
        </w:numPr>
        <w:pStyle w:val="Compact"/>
      </w:pPr>
      <w:r>
        <w:t xml:space="preserve">Interview Transcripts with Senior Faculty Members in the Capital Governorate.</w:t>
      </w:r>
    </w:p>
    <w:p>
      <w:pPr>
        <w:pStyle w:val="FirstParagraph"/>
      </w:pPr>
      <w:r>
        <w:rPr>
          <w:bCs/>
          <w:b/>
        </w:rPr>
        <w:t xml:space="preserve">Report Prepared By:</w:t>
      </w:r>
      <w:r>
        <w:br/>
      </w:r>
      <w:r>
        <w:t xml:space="preserve">Senior Analyst, Academic Evaluation Division</w:t>
      </w:r>
      <w:r>
        <w:br/>
      </w:r>
      <w:r>
        <w:t xml:space="preserve">Laboratory for Social and Scientific Studies</w:t>
      </w:r>
      <w:r>
        <w:br/>
      </w:r>
      <w:r>
        <w:rPr>
          <w:bCs/>
          <w:b/>
        </w:rPr>
        <w:t xml:space="preserve">Kuwait Kuwait City</w:t>
      </w:r>
    </w:p>
    <w:p>
      <w:pPr>
        <w:pStyle w:val="BodyText"/>
      </w:pPr>
      <w:r>
        <w:rPr>
          <w:iCs/>
          <w:i/>
        </w:rPr>
        <w:t xml:space="preserve">This document is confidential and intended solely for the use of the Department of Higher Education.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Kuwait City</dc:title>
  <dc:creator/>
  <dc:language>en</dc:language>
  <cp:keywords/>
  <dcterms:created xsi:type="dcterms:W3CDTF">2026-07-29T18:03:59Z</dcterms:created>
  <dcterms:modified xsi:type="dcterms:W3CDTF">2026-07-29T18:03:59Z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