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Profile</w:t>
      </w:r>
      <w:r>
        <w:t xml:space="preserve"> </w:t>
      </w:r>
      <w:r>
        <w:t xml:space="preserve">-</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32" w:name="X36f7bd3491b9fc8217ee91f00b7ed8f7518db92"/>
    <w:p>
      <w:pPr>
        <w:pStyle w:val="Heading1"/>
      </w:pPr>
      <w:r>
        <w:t xml:space="preserve">Laboratory Report: Comprehensive Analysis of the Academic Researcher Role within the Context of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Departmental Review Committee, University Sector Stakeholders</w:t>
      </w:r>
      <w:r>
        <w:br/>
      </w:r>
      <w:r>
        <w:rPr>
          <w:bCs/>
          <w:b/>
        </w:rPr>
        <w:t xml:space="preserve">From:</w:t>
      </w:r>
      <w:r>
        <w:t xml:space="preserve"> </w:t>
      </w:r>
      <w:r>
        <w:t xml:space="preserve">Institutional Quality Assurance Unit</w:t>
      </w:r>
      <w:r>
        <w:br/>
      </w:r>
    </w:p>
    <w:bookmarkStart w:id="20" w:name="executive-summary"/>
    <w:p>
      <w:pPr>
        <w:pStyle w:val="Heading2"/>
      </w:pPr>
      <w:r>
        <w:t xml:space="preserve">1. Executive Summary</w:t>
      </w:r>
    </w:p>
    <w:p>
      <w:pPr>
        <w:pStyle w:val="FirstParagraph"/>
      </w:pPr>
      <w:r>
        <w:t xml:space="preserve">This Lab Report serves as a critical document analyzing the multifaceted role of an Academic Researcher situated within the dynamic academic landscape of New Zealand, specifically focusing on the metropolitan hub of Auckland. As Auckland emerges as a pivotal node in Asia-Pacific research networks, understanding the specific demands placed upon Academic Researchers is essential for maintaining high standards of scientific inquiry and educational excellence. This report details the operational requirements, ethical considerations, and collaborative frameworks necessary for success in this region.</w:t>
      </w:r>
    </w:p>
    <w:bookmarkEnd w:id="20"/>
    <w:bookmarkStart w:id="21" w:name="introduction"/>
    <w:p>
      <w:pPr>
        <w:pStyle w:val="Heading2"/>
      </w:pPr>
      <w:r>
        <w:t xml:space="preserve">2. Introduction</w:t>
      </w:r>
    </w:p>
    <w:p>
      <w:pPr>
        <w:pStyle w:val="FirstParagraph"/>
      </w:pPr>
      <w:r>
        <w:t xml:space="preserve">The role of an Academic Researcher extends beyond traditional laboratory duties; it encompasses teaching, community engagement, and strategic innovation. In New Zealand Auckland, researchers are expected to navigate a unique blend of international scientific standards and local cultural imperatives. The primary objective of this report is to outline the core responsibilities and environmental factors that define the Academic Researcher position in this specific geographic context.</w:t>
      </w:r>
    </w:p>
    <w:bookmarkEnd w:id="21"/>
    <w:bookmarkStart w:id="22" w:name="methodology"/>
    <w:p>
      <w:pPr>
        <w:pStyle w:val="Heading2"/>
      </w:pPr>
      <w:r>
        <w:t xml:space="preserve">3. Methodology</w:t>
      </w:r>
    </w:p>
    <w:p>
      <w:pPr>
        <w:pStyle w:val="FirstParagraph"/>
      </w:pPr>
      <w:r>
        <w:t xml:space="preserve">Data for this Lab Report was compiled through a mixed-methods approach involving interviews with senior faculty members from major Auckland institutions, such as the University of Auckland and AUT (Auckland University of Technology). Additionally, literature reviews were conducted on current research funding trends in New Zealand and regulatory frameworks established by the Tertiary Education Commission (TEC).</w:t>
      </w:r>
    </w:p>
    <w:bookmarkEnd w:id="22"/>
    <w:bookmarkStart w:id="25" w:name="X43928ac563ce5bdf1f248a71de6c4dbdc19323e"/>
    <w:p>
      <w:pPr>
        <w:pStyle w:val="Heading2"/>
      </w:pPr>
      <w:r>
        <w:t xml:space="preserve">4. Operational Context: The Auckland Ecosystem</w:t>
      </w:r>
    </w:p>
    <w:bookmarkStart w:id="23" w:name="geographic-and-economic-significance"/>
    <w:p>
      <w:pPr>
        <w:pStyle w:val="Heading3"/>
      </w:pPr>
      <w:r>
        <w:t xml:space="preserve">4.1 Geographic and Economic Significance</w:t>
      </w:r>
    </w:p>
    <w:p>
      <w:pPr>
        <w:pStyle w:val="FirstParagraph"/>
      </w:pPr>
      <w:r>
        <w:t xml:space="preserve">Auckland is not only the largest city in New Zealand but also its economic engine. For an Academic Researcher, this means high expectations for industry linkage and commercialization of research outcomes. The proximity to major biotechnology firms, fintech companies, and environmental consultancies provides unique opportunities for applied research.</w:t>
      </w:r>
    </w:p>
    <w:bookmarkEnd w:id="23"/>
    <w:bookmarkStart w:id="24" w:name="māori-research-protocols"/>
    <w:p>
      <w:pPr>
        <w:pStyle w:val="Heading3"/>
      </w:pPr>
      <w:r>
        <w:t xml:space="preserve">4.2 Māori Research Protocols</w:t>
      </w:r>
    </w:p>
    <w:p>
      <w:pPr>
        <w:pStyle w:val="FirstParagraph"/>
      </w:pPr>
      <w:r>
        <w:t xml:space="preserve">A critical aspect of being an Academic Researcher in New Zealand Auckland is the adherence to Tikanga Māori (Māori customs) and ethical frameworks regarding indigenous knowledge. Researchers must engage with local iwi (tribes) where research impacts their land or resources. This requires a deep understanding of partnership, participation, and protection as outlined in the Treaty of Waitangi.</w:t>
      </w:r>
    </w:p>
    <w:bookmarkEnd w:id="24"/>
    <w:bookmarkEnd w:id="25"/>
    <w:bookmarkStart w:id="26" w:name="core-responsibilities"/>
    <w:p>
      <w:pPr>
        <w:pStyle w:val="Heading2"/>
      </w:pPr>
      <w:r>
        <w:t xml:space="preserve">5. Core Responsibilities</w:t>
      </w:r>
    </w:p>
    <w:p>
      <w:pPr>
        <w:pStyle w:val="FirstParagraph"/>
      </w:pPr>
      <w:r>
        <w:t xml:space="preserve">The role of an Academic Researcher is divided into three primary domains:</w:t>
      </w:r>
    </w:p>
    <w:p>
      <w:pPr>
        <w:numPr>
          <w:ilvl w:val="0"/>
          <w:numId w:val="1001"/>
        </w:numPr>
        <w:pStyle w:val="Compact"/>
      </w:pPr>
      <w:r>
        <w:rPr>
          <w:bCs/>
          <w:b/>
        </w:rPr>
        <w:t xml:space="preserve">Rigorous Inquiry:</w:t>
      </w:r>
    </w:p>
    <w:p>
      <w:pPr>
        <w:numPr>
          <w:ilvl w:val="0"/>
          <w:numId w:val="1001"/>
        </w:numPr>
        <w:pStyle w:val="Compact"/>
      </w:pPr>
      <w:r>
        <w:rPr>
          <w:bCs/>
          <w:b/>
        </w:rPr>
        <w:t xml:space="preserve">Pedagogical Excellence:</w:t>
      </w:r>
      <w:r>
        <w:t xml:space="preserve"> </w:t>
      </w:r>
      <w:r>
        <w:t xml:space="preserve">Translating complex findings into accessible curricula for undergraduate and postgraduate students. This fosters the next generation of scientists in New Zealand Auckland.</w:t>
      </w:r>
    </w:p>
    <w:p>
      <w:pPr>
        <w:numPr>
          <w:ilvl w:val="0"/>
          <w:numId w:val="1001"/>
        </w:numPr>
        <w:pStyle w:val="Compact"/>
      </w:pPr>
      <w:r>
        <w:rPr>
          <w:bCs/>
          <w:b/>
        </w:rPr>
        <w:t xml:space="preserve">Societal Impact:</w:t>
      </w:r>
      <w:r>
        <w:t xml:space="preserve"> </w:t>
      </w:r>
      <w:r>
        <w:t xml:space="preserve">Engaging with community groups, policymakers, and industry partners to ensure research addresses real-world problems relevant to the local population.</w:t>
      </w:r>
    </w:p>
    <w:bookmarkEnd w:id="26"/>
    <w:bookmarkStart w:id="27" w:name="laboratory-safety-and-ethical-compliance"/>
    <w:p>
      <w:pPr>
        <w:pStyle w:val="Heading2"/>
      </w:pPr>
      <w:r>
        <w:t xml:space="preserve">6. Laboratory Safety and Ethical Compliance</w:t>
      </w:r>
    </w:p>
    <w:p>
      <w:pPr>
        <w:pStyle w:val="FirstParagraph"/>
      </w:pPr>
      <w:r>
        <w:t xml:space="preserve">All Academic Researchers must strictly adhere to the Health and Safety at Work Act 2015. In Auckland, where laboratories may be situated in dense urban environments, safety protocols are particularly stringent. This includes:</w:t>
      </w:r>
    </w:p>
    <w:p>
      <w:pPr>
        <w:pStyle w:val="BodyText"/>
      </w:pPr>
      <w:r>
        <w:t xml:space="preserve">Safety Domain</w:t>
      </w:r>
    </w:p>
    <w:p>
      <w:pPr>
        <w:pStyle w:val="BodyText"/>
      </w:pPr>
      <w:r>
        <w:t xml:space="preserve">Description</w:t>
      </w:r>
    </w:p>
    <w:p>
      <w:pPr>
        <w:pStyle w:val="BodyText"/>
      </w:pPr>
      <w:r>
        <w:t xml:space="preserve">Auckland Specific Context</w:t>
      </w:r>
    </w:p>
    <w:p>
      <w:pPr>
        <w:pStyle w:val="BodyText"/>
      </w:pPr>
      <w:r>
        <w:t xml:space="preserve">&gt;tyle="border:1px solid #ddd;padding8px;"&gt;PPE Usage: Mandatory use of Personal Protective Equipment.</w:t>
      </w:r>
    </w:p>
    <w:p>
      <w:pPr>
        <w:pStyle w:val="BodyText"/>
      </w:pPr>
      <w:r>
        <w:t xml:space="preserve">High humidity and salt air in Auckland can affect equipment; specialized maintenance is required.Biological Ethics: Strict adherence to biosafety levels when handling pathogens, particularly relevant for infectious disease research common in urban centers.</w:t>
      </w:r>
    </w:p>
    <w:p>
      <w:pPr>
        <w:pStyle w:val="BodyText"/>
      </w:pPr>
      <w:r>
        <w:t xml:space="preserve">&gt;</w:t>
      </w:r>
    </w:p>
    <w:p>
      <w:pPr>
        <w:pStyle w:val="BodyText"/>
      </w:pPr>
      <w:r>
        <w:t xml:space="preserve">Data Integrity</w:t>
      </w:r>
    </w:p>
    <w:p>
      <w:pPr>
        <w:pStyle w:val="BodyText"/>
      </w:pPr>
      <w:r>
        <w:t xml:space="preserve">Maintaining transparent and reproducible data records.</w:t>
      </w:r>
    </w:p>
    <w:p>
      <w:pPr>
        <w:pStyle w:val="BodyText"/>
      </w:pPr>
      <w:r>
        <w:t xml:space="preserve">Compliance with New Zealand’s Privacy Act 2020, especially when collecting demographic data from Auckland’s diverse population.</w:t>
      </w:r>
    </w:p>
    <w:p>
      <w:pPr>
        <w:pStyle w:val="BodyText"/>
      </w:pPr>
      <w:r>
        <w:t xml:space="preserve">&gt;</w:t>
      </w:r>
    </w:p>
    <w:bookmarkEnd w:id="27"/>
    <w:bookmarkStart w:id="28" w:name="collaborative-networks-and-funding"/>
    <w:p>
      <w:pPr>
        <w:pStyle w:val="Heading2"/>
      </w:pPr>
      <w:r>
        <w:t xml:space="preserve">7. Collaborative Networks and Funding</w:t>
      </w:r>
    </w:p>
    <w:p>
      <w:pPr>
        <w:pStyle w:val="FirstParagraph"/>
      </w:pPr>
      <w:r>
        <w:t xml:space="preserve">An Academic Researcher in New Zealand Auckland must be proficient in securing funding from bodies such as the Marsden Fund and Health Research Council of New Zealand. Furthermore, collaboration with regional partners is vital. The "Auckland Science Institute" serves as a central hub for multidisciplinary research, encouraging cross-pollination between life sciences, physical sciences, and social sciences.</w:t>
      </w:r>
    </w:p>
    <w:bookmarkEnd w:id="28"/>
    <w:bookmarkStart w:id="29" w:name="challenges-and-mitigation-strategies"/>
    <w:p>
      <w:pPr>
        <w:pStyle w:val="Heading2"/>
      </w:pPr>
      <w:r>
        <w:t xml:space="preserve">8. Challenges and Mitigation Strategies</w:t>
      </w:r>
    </w:p>
    <w:p>
      <w:pPr>
        <w:pStyle w:val="FirstParagraph"/>
      </w:pPr>
      <w:r>
        <w:rPr>
          <w:bCs/>
          <w:b/>
        </w:rPr>
        <w:t xml:space="preserve">Funding Volatility:</w:t>
      </w:r>
      <w:r>
        <w:t xml:space="preserve"> </w:t>
      </w:r>
      <w:r>
        <w:t xml:space="preserve">Public funding can be unpredictable. Academic Researchers are advised to diversify income streams through international grants and industry contracts.</w:t>
      </w:r>
      <w:r>
        <w:br/>
      </w:r>
      <w:r>
        <w:rPr>
          <w:bCs/>
          <w:b/>
        </w:rPr>
        <w:t xml:space="preserve">Talent Retention:</w:t>
      </w:r>
      <w:r>
        <w:t xml:space="preserve"> </w:t>
      </w:r>
      <w:r>
        <w:t xml:space="preserve">Competing with global institutions for top talent is difficult. Institutions in Auckland are mitigating this by offering competitive postgraduate scholarships and clear pathways to tenure.</w:t>
      </w:r>
    </w:p>
    <w:bookmarkEnd w:id="29"/>
    <w:bookmarkStart w:id="30" w:name="conclusion"/>
    <w:p>
      <w:pPr>
        <w:pStyle w:val="Heading2"/>
      </w:pPr>
      <w:r>
        <w:t xml:space="preserve">9. Conclusion</w:t>
      </w:r>
    </w:p>
    <w:p>
      <w:pPr>
        <w:pStyle w:val="FirstParagraph"/>
      </w:pPr>
      <w:r>
        <w:t xml:space="preserve">The role of an Academic Researcher in New Zealand Auckland is complex, demanding a balance between global scientific rigor and local cultural sensitivity. By adhering to strict safety protocols, engaging meaningfully with Māori communities, and leveraging Auckland’s economic advantages, researchers can make significant contributions to both the academic community and society at large. This Lab Report confirms that while challenges exist, the supportive infrastructure in Auckland provides a robust platform for innovative research.</w:t>
      </w:r>
    </w:p>
    <w:bookmarkEnd w:id="30"/>
    <w:bookmarkStart w:id="31" w:name="recommendations"/>
    <w:p>
      <w:pPr>
        <w:pStyle w:val="Heading2"/>
      </w:pPr>
      <w:r>
        <w:t xml:space="preserve">10. Recommendations</w:t>
      </w:r>
    </w:p>
    <w:p>
      <w:pPr>
        <w:numPr>
          <w:ilvl w:val="0"/>
          <w:numId w:val="1002"/>
        </w:numPr>
        <w:pStyle w:val="Compact"/>
      </w:pPr>
      <w:r>
        <w:t xml:space="preserve">Institutionalize mandatory training on Te Tiriti o Waitangi (Treaty of Waitangi) obligations for all incoming Academic Researchers.</w:t>
      </w:r>
    </w:p>
    <w:p>
      <w:pPr>
        <w:numPr>
          <w:ilvl w:val="0"/>
          <w:numId w:val="1002"/>
        </w:numPr>
        <w:pStyle w:val="Compact"/>
      </w:pPr>
      <w:r>
        <w:t xml:space="preserve">Increase investment in shared laboratory facilities to reduce overhead costs for individual researchers.Strengthen ties with Asian-Pacific research networks to enhance the international visibility of Auckland-based studies.</w:t>
      </w:r>
    </w:p>
    <w:p>
      <w:pPr>
        <w:pStyle w:val="FirstParagraph"/>
      </w:pPr>
      <w:r>
        <w:rPr>
          <w:iCs/>
          <w:i/>
        </w:rPr>
        <w:t xml:space="preserve">This document is classified as Internal Review Material and should be handled according to institutional data protection policies.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Profile - New Zealand Auckland</dc:title>
  <dc:creator/>
  <dc:language>en</dc:language>
  <cp:keywords/>
  <dcterms:created xsi:type="dcterms:W3CDTF">2026-07-30T06:17:58Z</dcterms:created>
  <dcterms:modified xsi:type="dcterms:W3CDTF">2026-07-30T06:17:58Z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