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Saint</w:t>
      </w:r>
      <w:r>
        <w:t xml:space="preserve"> </w:t>
      </w:r>
      <w:r>
        <w:t xml:space="preserve">Petersburg</w:t>
      </w:r>
    </w:p>
    <w:p>
      <w:pPr>
        <w:pStyle w:val="FirstParagraph"/>
      </w:pPr>
      <w:r>
        <w:t xml:space="preserve">```html</w:t>
      </w:r>
    </w:p>
    <w:bookmarkStart w:id="32" w:name="Xb6b213bdf6bf17bb5cec67f64bf9071de78a935"/>
    <w:p>
      <w:pPr>
        <w:pStyle w:val="Heading1"/>
      </w:pPr>
      <w:r>
        <w:t xml:space="preserve">Laboratory Report on Academic Research Activities</w:t>
      </w:r>
    </w:p>
    <w:bookmarkStart w:id="20" w:name="focus-entity"/>
    <w:p>
      <w:pPr>
        <w:pStyle w:val="Heading3"/>
      </w:pPr>
      <w:r>
        <w:t xml:space="preserve">Focus Entity:</w:t>
      </w:r>
    </w:p>
    <w:p>
      <w:pPr>
        <w:pStyle w:val="FirstParagraph"/>
      </w:pPr>
      <w:r>
        <w:t xml:space="preserve">Academic Researcher</w:t>
      </w:r>
    </w:p>
    <w:bookmarkEnd w:id="20"/>
    <w:bookmarkStart w:id="22" w:name="jurisdictional-context"/>
    <w:p>
      <w:pPr>
        <w:pStyle w:val="Heading3"/>
      </w:pPr>
      <w:r>
        <w:t xml:space="preserve">Jurisdictional Context:</w:t>
      </w:r>
    </w:p>
    <w:p>
      <w:pPr>
        <w:pStyle w:val="FirstParagraph"/>
      </w:pPr>
      <w:r>
        <w:t xml:space="preserve">Russia Saint Petersburg</w:t>
      </w:r>
    </w:p>
    <w:p>
      <w:pPr>
        <w:pStyle w:val="BodyText"/>
      </w:pPr>
      <w:r>
        <w:rPr>
          <w:bCs/>
          <w:b/>
        </w:rPr>
        <w:t xml:space="preserve">Date of Analysis:</w:t>
      </w:r>
    </w:p>
    <w:bookmarkStart w:id="21" w:name="date"/>
    <w:bookmarkEnd w:id="21"/>
    <w:bookmarkEnd w:id="22"/>
    <w:bookmarkStart w:id="23" w:name="executive-summary"/>
    <w:p>
      <w:pPr>
        <w:pStyle w:val="Heading2"/>
      </w:pPr>
      <w:r>
        <w:t xml:space="preserve">1. Executive Summary</w:t>
      </w:r>
    </w:p>
    <w:p>
      <w:pPr>
        <w:pStyle w:val="FirstParagraph"/>
      </w:pPr>
      <w:r>
        <w:t xml:space="preserve">The purpose of this lab report is to analyze the operational framework, scientific output, and environmental conditions affecting an</w:t>
      </w:r>
      <w:r>
        <w:t xml:space="preserve"> </w:t>
      </w:r>
      <w:r>
        <w:rPr>
          <w:bCs/>
          <w:b/>
        </w:rPr>
        <w:t xml:space="preserve">Academic Researcher</w:t>
      </w:r>
      <w:r>
        <w:t xml:space="preserve"> </w:t>
      </w:r>
      <w:r>
        <w:t xml:space="preserve">stationed in</w:t>
      </w:r>
      <w:r>
        <w:t xml:space="preserve"> </w:t>
      </w:r>
      <w:r>
        <w:rPr>
          <w:bCs/>
          <w:b/>
        </w:rPr>
        <w:t xml:space="preserve">Russia Saint Petersburg</w:t>
      </w:r>
      <w:r>
        <w:t xml:space="preserve">. Saint Petersburg has historically served as a premier hub for scientific inquiry in Northern Europe, hosting some of the oldest and most prestigious institutions of higher learning. This document evaluates how local infrastructure, funding mechanisms, and geopolitical contexts influence the daily workflow and long-term productivity of academic personnel within this specific region.</w:t>
      </w:r>
    </w:p>
    <w:p>
      <w:pPr>
        <w:pStyle w:val="BodyText"/>
      </w:pPr>
      <w:r>
        <w:t xml:space="preserve">Despite global challenges affecting international collaboration,</w:t>
      </w:r>
      <w:r>
        <w:t xml:space="preserve"> </w:t>
      </w:r>
      <w:r>
        <w:rPr>
          <w:bCs/>
          <w:b/>
        </w:rPr>
        <w:t xml:space="preserve">Russia Saint Petersburg</w:t>
      </w:r>
      <w:r>
        <w:t xml:space="preserve"> </w:t>
      </w:r>
      <w:r>
        <w:t xml:space="preserve">maintains a robust ecosystem for theoretical physics, mathematics, marine biology (specifically concerning the Baltic Sea), and computer science. The report details these findings to provide stakeholders with a comprehensive understanding of the current state of academic research in this metropolitan area.</w:t>
      </w:r>
    </w:p>
    <w:bookmarkEnd w:id="23"/>
    <w:bookmarkStart w:id="24" w:name="methodology"/>
    <w:p>
      <w:pPr>
        <w:pStyle w:val="Heading2"/>
      </w:pPr>
      <w:r>
        <w:t xml:space="preserve">2. Methodology</w:t>
      </w:r>
    </w:p>
    <w:p>
      <w:pPr>
        <w:pStyle w:val="FirstParagraph"/>
      </w:pPr>
      <w:r>
        <w:t xml:space="preserve">To compile this report, a mixed-methods approach was utilized, combining qualitative interviews with active</w:t>
      </w:r>
      <w:r>
        <w:t xml:space="preserve"> </w:t>
      </w:r>
      <w:r>
        <w:rPr>
          <w:bCs/>
          <w:b/>
        </w:rPr>
        <w:t xml:space="preserve">Academic Researcher</w:t>
      </w:r>
      <w:r>
        <w:t xml:space="preserve"> </w:t>
      </w:r>
      <w:r>
        <w:t xml:space="preserve">staff at major institutions such as St. Petersburg State University (SPbU) and the Ioffe Physical-Technical Institute. Additionally, quantitative data regarding grant allocations in</w:t>
      </w:r>
      <w:r>
        <w:t xml:space="preserve"> </w:t>
      </w:r>
      <w:r>
        <w:rPr>
          <w:bCs/>
          <w:b/>
        </w:rPr>
        <w:t xml:space="preserve">Russia Saint Petersburg</w:t>
      </w:r>
      <w:r>
        <w:t xml:space="preserve"> </w:t>
      </w:r>
      <w:r>
        <w:t xml:space="preserve">from the last five academic years were analyzed.</w:t>
      </w:r>
    </w:p>
    <w:p>
      <w:pPr>
        <w:pStyle w:val="BodyText"/>
      </w:pPr>
      <w:r>
        <w:t xml:space="preserve">Data collection focused on three primary metrics:</w:t>
      </w:r>
    </w:p>
    <w:p>
      <w:pPr>
        <w:numPr>
          <w:ilvl w:val="0"/>
          <w:numId w:val="1001"/>
        </w:numPr>
        <w:pStyle w:val="Compact"/>
      </w:pPr>
      <w:r>
        <w:rPr>
          <w:bCs/>
          <w:b/>
        </w:rPr>
        <w:t xml:space="preserve">Infrastructure Accessibility:</w:t>
      </w:r>
      <w:r>
        <w:t xml:space="preserve"> </w:t>
      </w:r>
      <w:r>
        <w:t xml:space="preserve">Availability of laboratory spaces, supercomputing resources, and archival materials.</w:t>
      </w:r>
    </w:p>
    <w:p>
      <w:pPr>
        <w:numPr>
          <w:ilvl w:val="0"/>
          <w:numId w:val="1001"/>
        </w:numPr>
        <w:pStyle w:val="Compact"/>
      </w:pPr>
      <w:r>
        <w:rPr>
          <w:bCs/>
          <w:b/>
        </w:rPr>
        <w:t xml:space="preserve">Collaborative Networks:</w:t>
      </w:r>
      <w:r>
        <w:t xml:space="preserve"> </w:t>
      </w:r>
      <w:r>
        <w:t xml:space="preserve">Frequency of international partnerships versus domestic collaborations.</w:t>
      </w:r>
    </w:p>
    <w:p>
      <w:pPr>
        <w:numPr>
          <w:ilvl w:val="0"/>
          <w:numId w:val="1001"/>
        </w:numPr>
        <w:pStyle w:val="Compact"/>
      </w:pPr>
      <w:r>
        <w:t xml:space="preserve">Economic Viability: Cost of living relative to research stipends and grant funding stability in</w:t>
      </w:r>
      <w:r>
        <w:t xml:space="preserve"> </w:t>
      </w:r>
      <w:r>
        <w:rPr>
          <w:bCs/>
          <w:b/>
        </w:rPr>
        <w:t xml:space="preserve">Russia Saint Petersburg</w:t>
      </w:r>
      <w:r>
        <w:t xml:space="preserve">.</w:t>
      </w:r>
    </w:p>
    <w:bookmarkEnd w:id="24"/>
    <w:bookmarkStart w:id="25" w:name="X7cae9cbcbfd1b371b22515ddfd0e4ef4b718c56"/>
    <w:p>
      <w:pPr>
        <w:pStyle w:val="Heading2"/>
      </w:pPr>
      <w:r>
        <w:t xml:space="preserve">3. Institutional Landscape in Russia Saint Petersburg</w:t>
      </w:r>
    </w:p>
    <w:p>
      <w:pPr>
        <w:pStyle w:val="FirstParagraph"/>
      </w:pPr>
      <w:r>
        <w:t xml:space="preserve">The city is home to a dense cluster of academic institutions. For an</w:t>
      </w:r>
      <w:r>
        <w:t xml:space="preserve"> </w:t>
      </w:r>
      <w:r>
        <w:rPr>
          <w:bCs/>
          <w:b/>
        </w:rPr>
        <w:t xml:space="preserve">Academic Researcher</w:t>
      </w:r>
      <w:r>
        <w:t xml:space="preserve">, the choice of affiliation significantly impacts resource availability.</w:t>
      </w:r>
    </w:p>
    <w:p>
      <w:pPr>
        <w:pStyle w:val="BodyText"/>
      </w:pPr>
      <w:r>
        <w:t xml:space="preserve">Institution Type</w:t>
      </w:r>
    </w:p>
    <w:p>
      <w:pPr>
        <w:pStyle w:val="BodyText"/>
      </w:pPr>
      <w:r>
        <w:t xml:space="preserve">Key Focus Areas</w:t>
      </w:r>
    </w:p>
    <w:p>
      <w:pPr>
        <w:pStyle w:val="BodyText"/>
      </w:pPr>
      <w:r>
        <w:t xml:space="preserve">Status in Russia Saint Petersburg</w:t>
      </w:r>
    </w:p>
    <w:p>
      <w:pPr>
        <w:pStyle w:val="BodyText"/>
      </w:pPr>
      <w:r>
        <w:t xml:space="preserve">National Research Universities (e.g., SPbU)</w:t>
      </w:r>
    </w:p>
    <w:p>
      <w:pPr>
        <w:pStyle w:val="BodyText"/>
      </w:pPr>
      <w:r>
        <w:t xml:space="preserve">Pure Sciences, Humanities, Law</w:t>
      </w:r>
    </w:p>
    <w:p>
      <w:pPr>
        <w:pStyle w:val="BodyText"/>
      </w:pPr>
      <w:r>
        <w:t xml:space="preserve">Very High Priority; State-funded heavily./tr&gt;</w:t>
      </w:r>
    </w:p>
    <w:p>
      <w:pPr>
        <w:pStyle w:val="BodyText"/>
      </w:pPr>
      <w:r>
        <w:t xml:space="preserve">&lt; t d &gt;Technical Institutes (e.g., ITMO)</w:t>
      </w:r>
      <w:r>
        <w:t xml:space="preserve"> </w:t>
      </w:r>
      <w:r>
        <w:t xml:space="preserve">&lt; t d &gt;Photonics, Quantum Computing</w:t>
      </w:r>
      <w:r>
        <w:t xml:space="preserve"> </w:t>
      </w:r>
      <w:r>
        <w:t xml:space="preserve">&lt; t d /&gt;Growth Sector with strong industry ties.</w:t>
      </w:r>
    </w:p>
    <w:p>
      <w:pPr>
        <w:pStyle w:val="BodyText"/>
      </w:pPr>
      <w:r>
        <w:t xml:space="preserve">Independent Research Centers</w:t>
      </w:r>
    </w:p>
    <w:p>
      <w:pPr>
        <w:pStyle w:val="BodyText"/>
      </w:pPr>
      <w:r>
        <w:t xml:space="preserve">Theoretical Physics, Mathematics/tr&gt;</w:t>
      </w:r>
    </w:p>
    <w:p>
      <w:pPr>
        <w:pStyle w:val="BodyText"/>
      </w:pPr>
      <w:r>
        <w:t xml:space="preserve">&lt; t d /&gt;High Prestige; Often linked to the Russian Academy of Sciences. /tbody&gt;</w:t>
      </w:r>
    </w:p>
    <w:p>
      <w:pPr>
        <w:pStyle w:val="BodyText"/>
      </w:pPr>
      <w:r>
        <w:t xml:space="preserve">This diversity allows an</w:t>
      </w:r>
      <w:r>
        <w:t xml:space="preserve"> </w:t>
      </w:r>
      <w:r>
        <w:rPr>
          <w:bCs/>
          <w:b/>
        </w:rPr>
        <w:t xml:space="preserve">Academic Researcher</w:t>
      </w:r>
      <w:r>
        <w:t xml:space="preserve"> </w:t>
      </w:r>
      <w:r>
        <w:t xml:space="preserve">in</w:t>
      </w:r>
      <w:r>
        <w:t xml:space="preserve"> </w:t>
      </w:r>
      <w:r>
        <w:rPr>
          <w:bCs/>
          <w:b/>
        </w:rPr>
        <w:t xml:space="preserve">Russia Saint Petersburg</w:t>
      </w:r>
      <w:r>
        <w:t xml:space="preserve"> </w:t>
      </w:r>
      <w:r>
        <w:t xml:space="preserve">to choose between broad interdisciplinary exposure or specialized, high-intensity technical work.</w:t>
      </w:r>
    </w:p>
    <w:bookmarkEnd w:id="25"/>
    <w:bookmarkStart w:id="29" w:name="key-findings"/>
    <w:p>
      <w:pPr>
        <w:pStyle w:val="Heading2"/>
      </w:pPr>
      <w:r>
        <w:t xml:space="preserve">4. Key Findings</w:t>
      </w:r>
    </w:p>
    <w:bookmarkStart w:id="26" w:name="access-to-specialized-equipment"/>
    <w:p>
      <w:pPr>
        <w:pStyle w:val="Heading3"/>
      </w:pPr>
      <w:r>
        <w:t xml:space="preserve">4.1 Access to Specialized Equipment</w:t>
      </w:r>
    </w:p>
    <w:p>
      <w:pPr>
        <w:pStyle w:val="FirstParagraph"/>
      </w:pPr>
      <w:r>
        <w:t xml:space="preserve">The availability of high-end laboratory equipment in</w:t>
      </w:r>
      <w:r>
        <w:t xml:space="preserve"> </w:t>
      </w:r>
      <w:r>
        <w:rPr>
          <w:bCs/>
          <w:b/>
        </w:rPr>
        <w:t xml:space="preserve">Russia Saint Petersburg</w:t>
      </w:r>
      <w:r>
        <w:t xml:space="preserve"> </w:t>
      </w:r>
      <w:r>
        <w:t xml:space="preserve">has shown resilience despite supply chain disruptions globally. However, an</w:t>
      </w:r>
      <w:r>
        <w:t xml:space="preserve"> </w:t>
      </w:r>
      <w:r>
        <w:rPr>
          <w:bCs/>
          <w:b/>
        </w:rPr>
        <w:t xml:space="preserve">Academic Researcher</w:t>
      </w:r>
      <w:r>
        <w:t xml:space="preserve"> </w:t>
      </w:r>
      <w:r>
        <w:t xml:space="preserve">may encounter delays when importing specific microscopes or reagents not manufactured domestically. Local fabrication capabilities are improving, but reliance on international imports for niche scientific tools remains a bottleneck.</w:t>
      </w:r>
    </w:p>
    <w:bookmarkEnd w:id="26"/>
    <w:bookmarkStart w:id="27" w:name="digital-infrastructure-and-connectivity"/>
    <w:p>
      <w:pPr>
        <w:pStyle w:val="Heading3"/>
      </w:pPr>
      <w:r>
        <w:t xml:space="preserve">4.2 Digital Infrastructure and Connectivity</w:t>
      </w:r>
    </w:p>
    <w:p>
      <w:pPr>
        <w:pStyle w:val="FirstParagraph"/>
      </w:pPr>
      <w:r>
        <w:t xml:space="preserve">The digital landscape for research in</w:t>
      </w:r>
      <w:r>
        <w:t xml:space="preserve"> </w:t>
      </w:r>
      <w:r>
        <w:rPr>
          <w:bCs/>
          <w:b/>
        </w:rPr>
        <w:t xml:space="preserve">Russia Saint Petersburg</w:t>
      </w:r>
      <w:r>
        <w:t xml:space="preserve"> </w:t>
      </w:r>
      <w:r>
        <w:t xml:space="preserve">is robust locally, with high-speed internet accessible across university campuses. However, an</w:t>
      </w:r>
      <w:r>
        <w:t xml:space="preserve"> </w:t>
      </w:r>
      <w:r>
        <w:rPr>
          <w:bCs/>
          <w:b/>
        </w:rPr>
        <w:t xml:space="preserve">Academic Researcher</w:t>
      </w:r>
      <w:r>
        <w:t xml:space="preserve"> </w:t>
      </w:r>
      <w:r>
        <w:t xml:space="preserve">relying on international cloud-based repositories or collaborative platforms may face connectivity restrictions due to broader geopolitical sanctions and internet sovereignty laws. This necessitates a shift toward domestic data storage solutions and localized collaboration networks.</w:t>
      </w:r>
    </w:p>
    <w:bookmarkEnd w:id="27"/>
    <w:bookmarkStart w:id="28" w:name="funding-dynamics"/>
    <w:p>
      <w:pPr>
        <w:pStyle w:val="Heading3"/>
      </w:pPr>
      <w:r>
        <w:t xml:space="preserve">4.3 Funding Dynamics</w:t>
      </w:r>
    </w:p>
    <w:p>
      <w:pPr>
        <w:pStyle w:val="FirstParagraph"/>
      </w:pPr>
      <w:r>
        <w:t xml:space="preserve">Funding for basic science in</w:t>
      </w:r>
      <w:r>
        <w:t xml:space="preserve"> </w:t>
      </w:r>
      <w:r>
        <w:rPr>
          <w:bCs/>
          <w:b/>
        </w:rPr>
        <w:t xml:space="preserve">Russia Saint Petersburg</w:t>
      </w:r>
      <w:r>
        <w:t xml:space="preserve"> </w:t>
      </w:r>
      <w:r>
        <w:t xml:space="preserve">is largely state-directed, focusing on strategic national interests such as energy, space technology, and cybersecurity. An</w:t>
      </w:r>
      <w:r>
        <w:t xml:space="preserve"> </w:t>
      </w:r>
      <w:r>
        <w:rPr>
          <w:bCs/>
          <w:b/>
        </w:rPr>
        <w:t xml:space="preserve">Academic Researcher</w:t>
      </w:r>
      <w:r>
        <w:t xml:space="preserve"> </w:t>
      </w:r>
      <w:r>
        <w:t xml:space="preserve">in the natural sciences often secures funding through the Russian Science Foundation (RSF). While competitive grants are available, bureaucratic processes can be lengthy. Conversely, industry-sponsored research in fields like IT and biotech is growing rapidly in the city.</w:t>
      </w:r>
    </w:p>
    <w:bookmarkEnd w:id="28"/>
    <w:bookmarkEnd w:id="29"/>
    <w:bookmarkStart w:id="30" w:name="challenges-and-risks"/>
    <w:p>
      <w:pPr>
        <w:pStyle w:val="Heading2"/>
      </w:pPr>
      <w:r>
        <w:t xml:space="preserve">5. Challenges and Risks</w:t>
      </w:r>
    </w:p>
    <w:p>
      <w:pPr>
        <w:numPr>
          <w:ilvl w:val="0"/>
          <w:numId w:val="1002"/>
        </w:numPr>
        <w:pStyle w:val="Compact"/>
      </w:pPr>
      <w:r>
        <w:rPr>
          <w:bCs/>
          <w:b/>
        </w:rPr>
        <w:t xml:space="preserve">International Isolation:</w:t>
      </w:r>
      <w:r>
        <w:t xml:space="preserve"> </w:t>
      </w:r>
      <w:r>
        <w:t xml:space="preserve">For an</w:t>
      </w:r>
      <w:r>
        <w:t xml:space="preserve"> </w:t>
      </w:r>
      <w:r>
        <w:rPr>
          <w:bCs/>
          <w:b/>
        </w:rPr>
        <w:t xml:space="preserve">Academic Researcher</w:t>
      </w:r>
      <w:r>
        <w:t xml:space="preserve">, the most significant challenge in</w:t>
      </w:r>
      <w:r>
        <w:t xml:space="preserve"> </w:t>
      </w:r>
      <w:r>
        <w:rPr>
          <w:bCs/>
          <w:b/>
        </w:rPr>
        <w:t xml:space="preserve">Russia Saint Petersburg</w:t>
      </w:r>
      <w:r>
        <w:t xml:space="preserve"> </w:t>
      </w:r>
      <w:r>
        <w:t xml:space="preserve">is reduced visibility in global journals. Authorship restrictions and co-authoring hurdles with Western institutions limit the international impact of published work.</w:t>
      </w:r>
    </w:p>
    <w:p>
      <w:pPr>
        <w:numPr>
          <w:ilvl w:val="0"/>
          <w:numId w:val="1002"/>
        </w:numPr>
        <w:pStyle w:val="Compact"/>
      </w:pPr>
      <w:r>
        <w:rPr>
          <w:bCs/>
          <w:b/>
        </w:rPr>
        <w:t xml:space="preserve">Currency Fluctuation:</w:t>
      </w:r>
      <w:r>
        <w:t xml:space="preserve">The volatility of the Ruble affects purchasing power for equipment priced in Euros or Dollars, creating uncertainty for budget planning by an</w:t>
      </w:r>
      <w:r>
        <w:t xml:space="preserve"> </w:t>
      </w:r>
      <w:r>
        <w:rPr>
          <w:bCs/>
          <w:b/>
        </w:rPr>
        <w:t xml:space="preserve">Academic Researcher</w:t>
      </w:r>
      <w:r>
        <w:t xml:space="preserve">.</w:t>
      </w:r>
    </w:p>
    <w:p>
      <w:pPr>
        <w:numPr>
          <w:ilvl w:val="0"/>
          <w:numId w:val="1002"/>
        </w:numPr>
        <w:pStyle w:val="Compact"/>
      </w:pPr>
      <w:r>
        <w:rPr>
          <w:bCs/>
          <w:b/>
        </w:rPr>
        <w:t xml:space="preserve">Brain Drain:</w:t>
      </w:r>
    </w:p>
    <w:bookmarkEnd w:id="30"/>
    <w:bookmarkStart w:id="31" w:name="conclusion-and-recommendations"/>
    <w:p>
      <w:pPr>
        <w:pStyle w:val="Heading2"/>
      </w:pPr>
      <w:r>
        <w:t xml:space="preserve">6. Conclusion and Recommendations</w:t>
      </w:r>
    </w:p>
    <w:p>
      <w:pPr>
        <w:pStyle w:val="FirstParagraph"/>
      </w:pPr>
      <w:r>
        <w:t xml:space="preserve">The position of an</w:t>
      </w:r>
      <w:r>
        <w:t xml:space="preserve"> </w:t>
      </w:r>
      <w:r>
        <w:rPr>
          <w:bCs/>
          <w:b/>
        </w:rPr>
        <w:t xml:space="preserve">Academic Researcher</w:t>
      </w:r>
      <w:r>
        <w:t xml:space="preserve"> </w:t>
      </w:r>
      <w:r>
        <w:t xml:space="preserve">in</w:t>
      </w:r>
      <w:r>
        <w:t xml:space="preserve"> </w:t>
      </w:r>
      <w:r>
        <w:rPr>
          <w:bCs/>
          <w:b/>
        </w:rPr>
        <w:t xml:space="preserve">Russia Saint Petersburg</w:t>
      </w:r>
      <w:r>
        <w:t xml:space="preserve"> </w:t>
      </w:r>
      <w:r>
        <w:t xml:space="preserve">offers a unique blend of historical academic prestige, strong theoretical foundations, and increasing practical industry application. The city remains a critical center for scientific innovation in Eastern Europe.</w:t>
      </w:r>
    </w:p>
    <w:p>
      <w:pPr>
        <w:pStyle w:val="BodyText"/>
      </w:pPr>
      <w:r>
        <w:rPr>
          <w:bCs/>
          <w:b/>
        </w:rPr>
        <w:t xml:space="preserve">Recommendations:</w:t>
      </w:r>
    </w:p>
    <w:p>
      <w:pPr>
        <w:pStyle w:val="BodyText"/>
      </w:pPr>
      <w:r>
        <w:rPr>
          <w:bCs/>
          <w:b/>
        </w:rPr>
        <w:t xml:space="preserve">Diversify Collaboration:</w:t>
      </w:r>
    </w:p>
    <w:p>
      <w:pPr>
        <w:pStyle w:val="BodyText"/>
      </w:pPr>
      <w:r>
        <w:t xml:space="preserve">An</w:t>
      </w:r>
      <w:r>
        <w:t xml:space="preserve"> </w:t>
      </w:r>
      <w:r>
        <w:rPr>
          <w:bCs/>
          <w:b/>
        </w:rPr>
        <w:t xml:space="preserve">Academic Researcher</w:t>
      </w:r>
      <w:r>
        <w:t xml:space="preserve"> </w:t>
      </w:r>
      <w:r>
        <w:t xml:space="preserve">should seek partnerships with institutions in Asia and South America to mitigate isolation from Western networks.</w:t>
      </w:r>
    </w:p>
    <w:p>
      <w:pPr>
        <w:pStyle w:val="BodyText"/>
      </w:pPr>
      <w:r>
        <w:rPr>
          <w:bCs/>
          <w:b/>
        </w:rPr>
        <w:t xml:space="preserve">Leverage Local Strengths: Focus research topics that align with &lt; strong &gt; Russia Saint Petersburg ’s industrial strengths, particularly in engineering and digital technologies, to secure local industry funding. &lt; p&gt;Ultimately, while logistical and political hurdles exist, the intellectual capital concentrated in &lt; strong &gt; Russia Saint Petersburg provides a fertile ground for impactful academic research. An &lt; strong &gt; Academic Researcher who navigates these complexities effectively can contribute significantly to both regional development and global scientific discourse.</w:t>
      </w:r>
      <w:r>
        <w:rPr>
          <w:bCs/>
          <w:b/>
        </w:rPr>
        <w:t xml:space="preserve"> </w:t>
      </w:r>
      <w:r>
        <w:rPr>
          <w:bCs/>
          <w:b/>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in Saint Petersburg</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