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30c2cfc5ccea57efa8ac0dfaa50770b453829e9"/>
    <w:p>
      <w:pPr>
        <w:pStyle w:val="Heading1"/>
      </w:pPr>
      <w:r>
        <w:t xml:space="preserve">Laboratory Evaluation Report: Academic Researcher Profile Analysis for Strategic Deployment in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 KAUST Recruitment Committee</w:t>
      </w:r>
      <w:r>
        <w:br/>
      </w:r>
      <w:r>
        <w:rPr>
          <w:bCs/>
          <w:b/>
        </w:rPr>
        <w:t xml:space="preserve">From:</w:t>
      </w:r>
      <w:r>
        <w:t xml:space="preserve"> </w:t>
      </w:r>
      <w:r>
        <w:t xml:space="preserve">Independent Research Compliance &amp; Academic Viability Unit</w:t>
      </w:r>
      <w:r>
        <w:br/>
      </w:r>
    </w:p>
    <w:p>
      <w:pPr>
        <w:pStyle w:val="BodyText"/>
      </w:pPr>
      <w:r>
        <w:t xml:space="preserve">Subject:</w:t>
      </w:r>
    </w:p>
    <w:p>
      <w:pPr>
        <w:pStyle w:val="BodyText"/>
      </w:pPr>
      <w:r>
        <w:t xml:space="preserve">This</w:t>
      </w:r>
      <w:r>
        <w:t xml:space="preserve"> </w:t>
      </w:r>
      <w:r>
        <w:rPr>
          <w:iCs/>
          <w:i/>
        </w:rPr>
        <w:t xml:space="preserve">Laboratory Report</w:t>
      </w:r>
      <w:r>
        <w:t xml:space="preserve"> </w:t>
      </w:r>
      <w:r>
        <w:t xml:space="preserve">serves as a critical diagnostic and evaluative instrument designed to assess the competency, ethical standing, and strategic alignment of prospective</w:t>
      </w:r>
      <w:r>
        <w:t xml:space="preserve"> </w:t>
      </w:r>
      <w:r>
        <w:rPr>
          <w:iCs/>
          <w:i/>
        </w:rPr>
        <w:t xml:space="preserve">Academic Researcher</w:t>
      </w:r>
      <w:r>
        <w:t xml:space="preserve"> </w:t>
      </w:r>
      <w:r>
        <w:t xml:space="preserve">candidates who intend to operate within the unique scientific ecosystem of Saudi Arabia. Specifically, this analysis focuses on Riyadh as the primary hub for national innovation. The objective is not merely to evaluate scholarly output but to determine how an individual researcher’s methodology integrates with the aggressive modernization mandates of Vision 2030.</w:t>
      </w:r>
    </w:p>
    <w:p>
      <w:pPr>
        <w:pStyle w:val="BodyText"/>
      </w:pPr>
      <w:r>
        <w:t xml:space="preserve">The term</w:t>
      </w:r>
      <w:r>
        <w:t xml:space="preserve"> </w:t>
      </w:r>
      <w:r>
        <w:rPr>
          <w:iCs/>
          <w:i/>
        </w:rPr>
        <w:t xml:space="preserve">Laboratory Report</w:t>
      </w:r>
      <w:r>
        <w:t xml:space="preserve"> </w:t>
      </w:r>
      <w:r>
        <w:t xml:space="preserve">here transcends traditional wet-lab metrics; it encompasses a holistic laboratory of social, economic, and academic variables. In</w:t>
      </w:r>
      <w:r>
        <w:t xml:space="preserve"> </w:t>
      </w:r>
      <w:r>
        <w:rPr>
          <w:bCs/>
          <w:b/>
        </w:rPr>
        <w:t xml:space="preserve">Saudi Arabia Riyadh</w:t>
      </w:r>
      <w:r>
        <w:t xml:space="preserve">, research does not exist in a vacuum. It is deeply intertwined with national identity, religious values, and rapid industrial expansion. Therefore, this document outlines the rigorous testing framework required to ensure that any</w:t>
      </w:r>
      <w:r>
        <w:t xml:space="preserve"> </w:t>
      </w:r>
      <w:r>
        <w:rPr>
          <w:iCs/>
          <w:i/>
        </w:rPr>
        <w:t xml:space="preserve">Academic Researcher</w:t>
      </w:r>
      <w:r>
        <w:t xml:space="preserve"> </w:t>
      </w:r>
      <w:r>
        <w:t xml:space="preserve">entering this jurisdiction possesses the cultural intelligence and technical prowess necessary to succeed.</w:t>
      </w:r>
    </w:p>
    <w:p>
      <w:pPr>
        <w:pStyle w:val="BodyText"/>
      </w:pPr>
      <w:r>
        <w:t xml:space="preserve">Riyadh is currently undergoing a transformation that rivals Silicon Valley in pace, though distinct in its governance and cultural underpinnings. As the capital of</w:t>
      </w:r>
      <w:r>
        <w:t xml:space="preserve"> </w:t>
      </w:r>
      <w:r>
        <w:rPr>
          <w:bCs/>
          <w:b/>
        </w:rPr>
        <w:t xml:space="preserve">Saudi Arabia Riyadh</w:t>
      </w:r>
      <w:r>
        <w:t xml:space="preserve">, this city hosts the headquarters of numerous national initiatives, including NEOM’s administrative oversight and several flagship universities such as King Saud University (KSU) and Imam Muhammad ibn Saud Islamic University.</w:t>
      </w:r>
    </w:p>
    <w:p>
      <w:pPr>
        <w:pStyle w:val="BodyText"/>
      </w:pPr>
      <w:r>
        <w:t xml:space="preserve">For an</w:t>
      </w:r>
      <w:r>
        <w:t xml:space="preserve"> </w:t>
      </w:r>
      <w:r>
        <w:rPr>
          <w:iCs/>
          <w:i/>
        </w:rPr>
        <w:t xml:space="preserve">Academic Researcher</w:t>
      </w:r>
      <w:r>
        <w:t xml:space="preserve">, understanding the local landscape is paramount. The research infrastructure in Riyadh has seen exponential growth in funding, particularly in sectors related to petrochemicals, renewable energy, artificial intelligence, and biotechnology. However, the expectation for academic output is increasingly tied to tangible societal impact. Unlike Western institutions where pure theoretical advancement might suffice for tenure-track positions here in</w:t>
      </w:r>
      <w:r>
        <w:t xml:space="preserve"> </w:t>
      </w:r>
      <w:r>
        <w:rPr>
          <w:bCs/>
          <w:b/>
        </w:rPr>
        <w:t xml:space="preserve">Saudi Arabia Riyadh</w:t>
      </w:r>
      <w:r>
        <w:t xml:space="preserve">, the "Lab Report" of an</w:t>
      </w:r>
      <w:r>
        <w:t xml:space="preserve"> </w:t>
      </w:r>
      <w:r>
        <w:rPr>
          <w:iCs/>
          <w:i/>
        </w:rPr>
        <w:t xml:space="preserve">Academic Researcher</w:t>
      </w:r>
      <w:r>
        <w:t xml:space="preserve"> </w:t>
      </w:r>
      <w:r>
        <w:t xml:space="preserve">must demonstrate applicability to national development goals.</w:t>
      </w:r>
    </w:p>
    <w:p>
      <w:pPr>
        <w:pStyle w:val="BodyText"/>
      </w:pPr>
      <w:r>
        <w:t xml:space="preserve">To ensure a standardized evaluation, this report utilizes a multi-dimensional assessment matrix. This framework acts as the experimental protocol for judging candidate suitability. The three primary pillars of this evaluation are:</w:t>
      </w:r>
    </w:p>
    <w:p>
      <w:pPr>
        <w:numPr>
          <w:ilvl w:val="0"/>
          <w:numId w:val="1001"/>
        </w:numPr>
        <w:pStyle w:val="Compact"/>
      </w:pPr>
      <w:r>
        <w:rPr>
          <w:bCs/>
          <w:b/>
        </w:rPr>
        <w:t xml:space="preserve">Cultural and Regulatory Compliance:</w:t>
      </w:r>
      <w:r>
        <w:t xml:space="preserve"> </w:t>
      </w:r>
      <w:r>
        <w:t xml:space="preserve">Does the researcher understand Islamic bioethics, gender interaction norms in academic settings, and data sovereignty laws specific to</w:t>
      </w:r>
      <w:r>
        <w:t xml:space="preserve"> </w:t>
      </w:r>
      <w:r>
        <w:rPr>
          <w:bCs/>
          <w:b/>
        </w:rPr>
        <w:t xml:space="preserve">Saudi Arabia Riyadh</w:t>
      </w:r>
      <w:r>
        <w:t xml:space="preserve">?</w:t>
      </w:r>
    </w:p>
    <w:p>
      <w:pPr>
        <w:numPr>
          <w:ilvl w:val="0"/>
          <w:numId w:val="1001"/>
        </w:numPr>
        <w:pStyle w:val="Compact"/>
      </w:pPr>
      <w:r>
        <w:rPr>
          <w:bCs/>
          <w:b/>
        </w:rPr>
        <w:t xml:space="preserve">National Strategic Alignment:</w:t>
      </w:r>
      <w:r>
        <w:t xml:space="preserve"> </w:t>
      </w:r>
      <w:r>
        <w:t xml:space="preserve">Is the proposed research aligned with the Kingdom’s Vision 2030 pillars? For instance, does an</w:t>
      </w:r>
      <w:r>
        <w:t xml:space="preserve"> </w:t>
      </w:r>
      <w:r>
        <w:rPr>
          <w:iCs/>
          <w:i/>
        </w:rPr>
        <w:t xml:space="preserve">Academic Researcher</w:t>
      </w:r>
    </w:p>
    <w:p>
      <w:pPr>
        <w:numPr>
          <w:ilvl w:val="0"/>
          <w:numId w:val="1001"/>
        </w:numPr>
        <w:pStyle w:val="Compact"/>
      </w:pPr>
      <w:r>
        <w:rPr>
          <w:bCs/>
          <w:b/>
        </w:rPr>
        <w:t xml:space="preserve">Collaborative Viability:</w:t>
      </w:r>
      <w:r>
        <w:t xml:space="preserve">Riyadh is a collaborative hub. Can the researcher bridge gaps between international expertise and local implementation? This "Lab Report" tests interpersonal dynamics within diverse, multicultural teams often found in Riyadh’s university settings.</w:t>
      </w:r>
    </w:p>
    <w:p>
      <w:pPr>
        <w:pStyle w:val="FirstParagraph"/>
      </w:pPr>
      <w:r>
        <w:t xml:space="preserve">The data for this</w:t>
      </w:r>
    </w:p>
    <w:p>
      <w:pPr>
        <w:pStyle w:val="BodyText"/>
      </w:pPr>
      <w:r>
        <w:t xml:space="preserve">Laboratory ReportSaudi Arabia Riyadh. The primary variable under scrutiny is the "Adaptability Index" of the</w:t>
      </w:r>
      <w:r>
        <w:t xml:space="preserve"> </w:t>
      </w:r>
      <w:r>
        <w:rPr>
          <w:iCs/>
          <w:i/>
        </w:rPr>
        <w:t xml:space="preserve">Academic Researcher</w:t>
      </w:r>
      <w:r>
        <w:t xml:space="preserve">.</w:t>
      </w:r>
    </w:p>
    <w:p>
      <w:pPr>
        <w:pStyle w:val="BodyText"/>
      </w:pPr>
      <w:r>
        <w:t xml:space="preserve">In traditional academic labs, reproducibility is key. In this sociological and administrative laboratory, reproducibility refers to the consistency with which a researcher can maintain high ethical standards while navigating complex bureaucratic structures. Preliminary findings suggest that researchers who prioritize rigid adherence to local customs without compromising scientific integrity tend to have longer tenure and higher success rates in securing funding within</w:t>
      </w:r>
      <w:r>
        <w:t xml:space="preserve"> </w:t>
      </w:r>
      <w:r>
        <w:rPr>
          <w:bCs/>
          <w:b/>
        </w:rPr>
        <w:t xml:space="preserve">Saudi Arabia Riyadh</w:t>
      </w:r>
      <w:r>
        <w:t xml:space="preserve">.</w:t>
      </w:r>
    </w:p>
    <w:p>
      <w:pPr>
        <w:pStyle w:val="BodyText"/>
      </w:pPr>
      <w:r>
        <w:t xml:space="preserve">Upon analyzing various profiles, distinct archetypes emerge. The first group consists of "Pure Academics." While their publication records are stellar, this</w:t>
      </w:r>
    </w:p>
    <w:p>
      <w:pPr>
        <w:pStyle w:val="BodyText"/>
      </w:pPr>
      <w:r>
        <w:t xml:space="preserve">Laboratory ReportSaudi Arabia Riyadh. They may view local regulations as impediments rather than frameworks for ethical conduct.</w:t>
      </w:r>
    </w:p>
    <w:p>
      <w:pPr>
        <w:pStyle w:val="BodyText"/>
      </w:pPr>
      <w:r>
        <w:t xml:space="preserve">The second group comprises "Strategic Innovators." These</w:t>
      </w:r>
    </w:p>
    <w:p>
      <w:pPr>
        <w:pStyle w:val="BodyText"/>
      </w:pPr>
      <w:r>
        <w:t xml:space="preserve">Academic ResearcherSaudi Arabia Riyadh.</w:t>
      </w:r>
    </w:p>
    <w:p>
      <w:pPr>
        <w:pStyle w:val="BodyText"/>
      </w:pPr>
      <w:r>
        <w:t xml:space="preserve">This report emphasizes that the ideal candidate must embody a hybrid model: possessing the technical rigor of Western academia while exhibiting the diplomatic and cultural adaptability required to thrive in a Gulf-based academic environment.</w:t>
      </w:r>
    </w:p>
    <w:p>
      <w:pPr>
        <w:pStyle w:val="BodyText"/>
      </w:pPr>
      <w:r>
        <w:t xml:space="preserve">A significant portion of this</w:t>
      </w:r>
      <w:r>
        <w:t xml:space="preserve"> </w:t>
      </w:r>
      <w:r>
        <w:rPr>
          <w:iCs/>
          <w:i/>
        </w:rPr>
        <w:t xml:space="preserve">Laboratory ReportSaudi Arabia Riyadh, research ethics are not merely institutional policies but are often codified in broader national laws and religious guidelines. An</w:t>
      </w:r>
      <w:r>
        <w:rPr>
          <w:iCs/>
          <w:i/>
        </w:rPr>
        <w:t xml:space="preserve"> </w:t>
      </w:r>
      <w:r>
        <w:rPr>
          <w:iCs/>
          <w:i/>
          <w:iCs/>
          <w:i/>
        </w:rPr>
        <w:t xml:space="preserve">Academic Researcher</w:t>
      </w:r>
    </w:p>
    <w:p>
      <w:pPr>
        <w:pStyle w:val="BodyText"/>
      </w:pPr>
      <w:r>
        <w:t xml:space="preserve">The report highlights several case studies where well-intentioned research was halted due to a lack of cultural sensitivity. These instances serve as control variables in our experiment, illustrating the consequences of ignoring local context. Conversely, successful projects often involve early engagement with local stakeholders and ethical boards within</w:t>
      </w:r>
      <w:r>
        <w:t xml:space="preserve"> </w:t>
      </w:r>
      <w:r>
        <w:rPr>
          <w:bCs/>
          <w:b/>
        </w:rPr>
        <w:t xml:space="preserve">Saudi Arabia Riyadh</w:t>
      </w:r>
      <w:r>
        <w:t xml:space="preserve">.</w:t>
      </w:r>
    </w:p>
    <w:p>
      <w:pPr>
        <w:pStyle w:val="BodyText"/>
      </w:pPr>
      <w:r>
        <w:t xml:space="preserve">In conclusion, this</w:t>
      </w:r>
    </w:p>
    <w:p>
      <w:pPr>
        <w:pStyle w:val="BodyText"/>
      </w:pPr>
      <w:r>
        <w:t xml:space="preserve">Laboratory ReportAcademic ResearcherSaudi Arabia Riyadh.</w:t>
      </w:r>
    </w:p>
    <w:p>
      <w:pPr>
        <w:pStyle w:val="BodyText"/>
      </w:pPr>
      <w:r>
        <w:t xml:space="preserve">We recommend that future evaluations include mandatory modules on Saudi culture, Vision 2030 objectives, and local regulatory frameworks. Furthermore, mentorship programs should be established to pair incoming international</w:t>
      </w:r>
    </w:p>
    <w:p>
      <w:pPr>
        <w:pStyle w:val="BodyText"/>
      </w:pPr>
      <w:r>
        <w:t xml:space="preserve">Academic ResearcherSaudi Arabia Riyadh.</w:t>
      </w:r>
    </w:p>
    <w:p>
      <w:pPr>
        <w:pStyle w:val="BodyText"/>
      </w:pPr>
      <w:r>
        <w:t xml:space="preserve">Ultimately, the goal is to create a research environment where global scientific excellence meets local relevance. By treating this recruitment and evaluation process as a rigorous laboratory experiment, we ensure that only those candidates who are truly capable of contributing to the advancement of knowledge within this specific context are selected.</w:t>
      </w:r>
    </w:p>
    <w:p>
      <w:pPr>
        <w:pStyle w:val="BodyText"/>
      </w:pPr>
      <w:r>
        <w:t xml:space="preserve">1. Vision 2030 Kingdom of Saudi Arabia Strategic Development Framework.</w:t>
      </w:r>
    </w:p>
    <w:p>
      <w:pPr>
        <w:pStyle w:val="BodyText"/>
      </w:pPr>
      <w:r>
        <w:t xml:space="preserve">2. King Saud University Institutional Review Board Guidelines for International Researchers.</w:t>
      </w:r>
    </w:p>
    <w:p>
      <w:pPr>
        <w:pStyle w:val="BodyText"/>
      </w:pPr>
      <w:r>
        <w:rPr>
          <w:bCs/>
          <w:b/>
        </w:rPr>
        <w:t xml:space="preserve">Saudi Arabia Riyadh</w:t>
      </w:r>
      <w:r>
        <w:t xml:space="preserve">: Municipal Regulations on Academic and Scientific Data Handling, 2022 Edition.</w:t>
      </w:r>
    </w:p>
    <w:p>
      <w:pPr>
        <w:pStyle w:val="BodyText"/>
      </w:pPr>
      <w:r>
        <w:br/>
      </w:r>
    </w:p>
    <w:p>
      <w:pPr>
        <w:pStyle w:val="BodyText"/>
      </w:pPr>
      <w:r>
        <w:t xml:space="preserve">This document is classified as internal use only and serves as a foundational template for all subsequent</w:t>
      </w:r>
    </w:p>
    <w:p>
      <w:pPr>
        <w:pStyle w:val="BodyText"/>
      </w:pPr>
      <w:r>
        <w:t xml:space="preserve">Laboratory ReportAcademic Researcher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Evaluation in Saudi Arabia Riyadh</dc:title>
  <dc:creator/>
  <dc:language>en</dc:language>
  <cp:keywords/>
  <dcterms:created xsi:type="dcterms:W3CDTF">2026-07-29T14:03:49Z</dcterms:created>
  <dcterms:modified xsi:type="dcterms:W3CDTF">2026-07-29T14:03:49Z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