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Singapore</w:t>
      </w:r>
    </w:p>
    <w:bookmarkStart w:id="34" w:name="X41b819113f892e7569d562a1f2c6c2f9a1659ac"/>
    <w:p>
      <w:pPr>
        <w:pStyle w:val="Heading1"/>
      </w:pPr>
      <w:r>
        <w:t xml:space="preserve">Laboratory Report: The Academic Researcher in the Singaporean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Agency for Science, Technology and Research (A*STAR)</w:t>
      </w:r>
      <w:r>
        <w:br/>
      </w:r>
      <w:r>
        <w:rPr>
          <w:bCs/>
          <w:b/>
        </w:rPr>
        <w:t xml:space="preserve">From:</w:t>
      </w:r>
      <w:r>
        <w:t xml:space="preserve"> </w:t>
      </w:r>
      <w:r>
        <w:t xml:space="preserve">Department of Scientific Administration and Policy Analysis</w:t>
      </w:r>
      <w:r>
        <w:br/>
      </w:r>
      <w:r>
        <w:rPr>
          <w:bCs/>
          <w:b/>
        </w:rPr>
        <w:t xml:space="preserve">Subject:</w:t>
      </w:r>
      <w:r>
        <w:t xml:space="preserve"> </w:t>
      </w:r>
      <w:r>
        <w:t xml:space="preserve">Comprehensive Analysis of the Academic Researcher Role within Singapore’s Innovation Ecosystem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detailed examination of the role, responsibilities, and environmental factors influencing an</w:t>
      </w:r>
      <w:r>
        <w:t xml:space="preserve"> </w:t>
      </w:r>
      <w:r>
        <w:rPr>
          <w:bCs/>
          <w:b/>
        </w:rPr>
        <w:t xml:space="preserve">Academic Researcher</w:t>
      </w:r>
      <w:r>
        <w:t xml:space="preserve"> </w:t>
      </w:r>
      <w:r>
        <w:t xml:space="preserve">operating within the specific geopolitical and economic landscape of Singapore Singapore. As Singapore positions itself as a global hub for innovation and knowledge-based economies, the function of the academic researcher has evolved from purely theoretical inquiry to strategic national development. This document analyzes how</w:t>
      </w:r>
      <w:r>
        <w:t xml:space="preserve"> </w:t>
      </w:r>
      <w:r>
        <w:rPr>
          <w:bCs/>
          <w:b/>
        </w:rPr>
        <w:t xml:space="preserve">Singapore Singapore</w:t>
      </w:r>
      <w:r>
        <w:t xml:space="preserve">, despite its small geographical footprint, maximizes its impact through high-density research clusters, stringent regulatory frameworks, and intense international collaboration.</w:t>
      </w:r>
    </w:p>
    <w:p>
      <w:pPr>
        <w:pStyle w:val="BodyText"/>
      </w:pPr>
      <w:r>
        <w:t xml:space="preserve">The findings indicate that an</w:t>
      </w:r>
      <w:r>
        <w:t xml:space="preserve"> </w:t>
      </w:r>
      <w:r>
        <w:rPr>
          <w:bCs/>
          <w:b/>
        </w:rPr>
        <w:t xml:space="preserve">Academic Researcher</w:t>
      </w:r>
      <w:r>
        <w:t xml:space="preserve"> </w:t>
      </w:r>
      <w:r>
        <w:t xml:space="preserve">in this region operates under a unique tripartite pressure: the demand for academic excellence, the imperative for commercializable outcomes, and the necessity of contributing to national sustainability goals. This report outlines these dynamics through four key sections: Institutional Environment, Research Infrastructure, Regulatory Compliance in Singapore Singapore, and Future Trajectories.</w:t>
      </w:r>
    </w:p>
    <w:bookmarkEnd w:id="20"/>
    <w:bookmarkStart w:id="23" w:name="institutional-environment"/>
    <w:p>
      <w:pPr>
        <w:pStyle w:val="Heading2"/>
      </w:pPr>
      <w:r>
        <w:t xml:space="preserve">2. The Institutional Environment in Singapore</w:t>
      </w:r>
    </w:p>
    <w:p>
      <w:pPr>
        <w:pStyle w:val="FirstParagraph"/>
      </w:pPr>
      <w:r>
        <w:t xml:space="preserve">The ecosystem supporting an</w:t>
      </w:r>
      <w:r>
        <w:t xml:space="preserve"> </w:t>
      </w:r>
      <w:r>
        <w:rPr>
          <w:bCs/>
          <w:b/>
        </w:rPr>
        <w:t xml:space="preserve">Academic Researcher</w:t>
      </w:r>
      <w:r>
        <w:t xml:space="preserve"> </w:t>
      </w:r>
      <w:r>
        <w:t xml:space="preserve">in Singapore is characterized by a close integration between higher education institutions (HEIs) and government-linked companies. Unlike traditional Western models where academia and industry may operate with significant distance, the model in Singapore fosters immediate translation of research into practice.</w:t>
      </w:r>
    </w:p>
    <w:bookmarkStart w:id="21" w:name="key-institutional-players"/>
    <w:p>
      <w:pPr>
        <w:pStyle w:val="Heading3"/>
      </w:pPr>
      <w:r>
        <w:t xml:space="preserve">2.1 Key Institutional Players</w:t>
      </w:r>
    </w:p>
    <w:p>
      <w:pPr>
        <w:pStyle w:val="FirstParagraph"/>
      </w:pPr>
      <w:r>
        <w:t xml:space="preserve">The primary anchors for an</w:t>
      </w:r>
      <w:r>
        <w:t xml:space="preserve"> </w:t>
      </w:r>
      <w:r>
        <w:rPr>
          <w:bCs/>
          <w:b/>
        </w:rPr>
        <w:t xml:space="preserve">Academic Researcher</w:t>
      </w:r>
      <w:r>
        <w:t xml:space="preserve"> </w:t>
      </w:r>
      <w:r>
        <w:t xml:space="preserve">are the autonomous universities, notably the National University of Singapore (NUS) and Nanyang Technological University (NTU). These institutions serve as the breeding grounds for talent and innovation. However, they do not operate in isolation. The Agency for Science, Technology and Research (A*STAR) acts as a critical bridge, funding translational research that directly addresses problems faced by industries in</w:t>
      </w:r>
      <w:r>
        <w:t xml:space="preserve"> </w:t>
      </w:r>
      <w:r>
        <w:rPr>
          <w:bCs/>
          <w:b/>
        </w:rPr>
        <w:t xml:space="preserve">Singapore Singapore</w:t>
      </w:r>
      <w:r>
        <w:t xml:space="preserve">.</w:t>
      </w:r>
    </w:p>
    <w:bookmarkEnd w:id="21"/>
    <w:bookmarkStart w:id="22" w:name="funding-mechanisms"/>
    <w:p>
      <w:pPr>
        <w:pStyle w:val="Heading3"/>
      </w:pPr>
      <w:r>
        <w:t xml:space="preserve">2.2 Funding Mechanisms</w:t>
      </w:r>
    </w:p>
    <w:p>
      <w:pPr>
        <w:pStyle w:val="FirstParagraph"/>
      </w:pPr>
      <w:r>
        <w:t xml:space="preserve">Funding for an academic researcher is heavily skewed toward strategic national priorities. Grants are rarely awarded for purely theoretical exploration without broader societal impact. Instead, the National Research Foundation (NRF) in Singapore directs funds toward areas such as digital economy, sustainable living, and advanced manufacturing. For a researcher based in</w:t>
      </w:r>
      <w:r>
        <w:t xml:space="preserve"> </w:t>
      </w:r>
      <w:r>
        <w:rPr>
          <w:bCs/>
          <w:b/>
        </w:rPr>
        <w:t xml:space="preserve">Singapore Singapore</w:t>
      </w:r>
      <w:r>
        <w:t xml:space="preserve">, securing funding requires aligning individual research interests with the "Research, Innovation and Enterprise 2025" plan.</w:t>
      </w:r>
    </w:p>
    <w:bookmarkEnd w:id="22"/>
    <w:bookmarkEnd w:id="23"/>
    <w:bookmarkStart w:id="26" w:name="research-infrastructure"/>
    <w:p>
      <w:pPr>
        <w:pStyle w:val="Heading2"/>
      </w:pPr>
      <w:r>
        <w:t xml:space="preserve">3. Research Infrastructure and Collaboration</w:t>
      </w:r>
    </w:p>
    <w:p>
      <w:pPr>
        <w:pStyle w:val="FirstParagraph"/>
      </w:pPr>
      <w:r>
        <w:t xml:space="preserve">The physical infrastructure available to an</w:t>
      </w:r>
      <w:r>
        <w:t xml:space="preserve"> </w:t>
      </w:r>
      <w:r>
        <w:rPr>
          <w:bCs/>
          <w:b/>
        </w:rPr>
        <w:t xml:space="preserve">Academic Researcher</w:t>
      </w:r>
      <w:r>
        <w:t xml:space="preserve"> </w:t>
      </w:r>
      <w:r>
        <w:t xml:space="preserve">in Singapore is among the most advanced globally. The compact nature of</w:t>
      </w:r>
      <w:r>
        <w:t xml:space="preserve"> </w:t>
      </w:r>
      <w:r>
        <w:rPr>
          <w:bCs/>
          <w:b/>
        </w:rPr>
        <w:t xml:space="preserve">Singapore Singapore</w:t>
      </w:r>
      <w:r>
        <w:t xml:space="preserve"> </w:t>
      </w:r>
      <w:r>
        <w:t xml:space="preserve">allows for rapid logistical coordination between labs, hospitals, and industrial parks.</w:t>
      </w:r>
    </w:p>
    <w:bookmarkStart w:id="24" w:name="biopolis-and-fusionopolis"/>
    <w:p>
      <w:pPr>
        <w:pStyle w:val="Heading3"/>
      </w:pPr>
      <w:r>
        <w:t xml:space="preserve">3.1 Biopolis and Fusionopolis</w:t>
      </w:r>
    </w:p>
    <w:p>
      <w:pPr>
        <w:pStyle w:val="FirstParagraph"/>
      </w:pPr>
      <w:r>
        <w:t xml:space="preserve">The Biopolis in one-north is a prime example of the collaborative environment. Here, an academic researcher from a university can share facilities with pharmaceutical giants and biotech startups. This co-location breaks down silos, allowing for cross-disciplinary work that is increasingly difficult to achieve in geographically dispersed institutions.</w:t>
      </w:r>
    </w:p>
    <w:bookmarkEnd w:id="24"/>
    <w:bookmarkStart w:id="25" w:name="X495a4fcd087a6715d1123890453cee29cd6effc"/>
    <w:p>
      <w:pPr>
        <w:pStyle w:val="Heading3"/>
      </w:pPr>
      <w:r>
        <w:t xml:space="preserve">3.2 Data Sovereignty and Digital Infrastructure</w:t>
      </w:r>
    </w:p>
    <w:p>
      <w:pPr>
        <w:pStyle w:val="FirstParagraph"/>
      </w:pPr>
      <w:r>
        <w:t xml:space="preserve">In the realm of data science and engineering, an</w:t>
      </w:r>
      <w:r>
        <w:t xml:space="preserve"> </w:t>
      </w:r>
      <w:r>
        <w:rPr>
          <w:bCs/>
          <w:b/>
        </w:rPr>
        <w:t xml:space="preserve">Academic Researcher</w:t>
      </w:r>
      <w:r>
        <w:t xml:space="preserve"> </w:t>
      </w:r>
      <w:r>
        <w:t xml:space="preserve">in Singapore benefits from robust digital infrastructure. The Smart Nation initiative provides access to anonymized urban datasets, allowing researchers to test algorithms related to traffic management, energy consumption, and public health in real-world scenarios. This practical application capability is a distinct advantage for researchers operating within the</w:t>
      </w:r>
      <w:r>
        <w:t xml:space="preserve"> </w:t>
      </w:r>
      <w:r>
        <w:rPr>
          <w:bCs/>
          <w:b/>
        </w:rPr>
        <w:t xml:space="preserve">Singapore Singapore</w:t>
      </w:r>
      <w:r>
        <w:t xml:space="preserve"> </w:t>
      </w:r>
      <w:r>
        <w:t xml:space="preserve">framework.</w:t>
      </w:r>
    </w:p>
    <w:bookmarkEnd w:id="25"/>
    <w:bookmarkEnd w:id="26"/>
    <w:bookmarkStart w:id="30" w:name="regulatory-compliance"/>
    <w:p>
      <w:pPr>
        <w:pStyle w:val="Heading2"/>
      </w:pPr>
      <w:r>
        <w:t xml:space="preserve">4. Regulatory Compliance and Ethical Standards</w:t>
      </w:r>
    </w:p>
    <w:p>
      <w:pPr>
        <w:pStyle w:val="FirstParagraph"/>
      </w:pPr>
      <w:r>
        <w:t xml:space="preserve">The operational landscape for an academic researcher is heavily regulated, reflecting Singapore’s emphasis on safety, security, and integrity. Compliance is not merely a bureaucratic hurdle but a core component of the research culture.</w:t>
      </w:r>
    </w:p>
    <w:bookmarkStart w:id="27" w:name="intellectual-property-ip-management"/>
    <w:p>
      <w:pPr>
        <w:pStyle w:val="Heading3"/>
      </w:pPr>
      <w:r>
        <w:t xml:space="preserve">4.1 Intellectual Property (IP) Management</w:t>
      </w:r>
    </w:p>
    <w:p>
      <w:pPr>
        <w:pStyle w:val="FirstParagraph"/>
      </w:pPr>
      <w:r>
        <w:t xml:space="preserve">In Singapore IP ownership structures are clearly defined by institutional policies and national guidelines. An academic researcher must navigate complex agreements regarding patenting and commercialization. The Technology Development Office (TDO) at major universities plays a vital role in managing these assets, ensuring that discoveries made by researchers can be licensed to industry partners within</w:t>
      </w:r>
      <w:r>
        <w:t xml:space="preserve"> </w:t>
      </w:r>
      <w:r>
        <w:rPr>
          <w:bCs/>
          <w:b/>
        </w:rPr>
        <w:t xml:space="preserve">Singapore Singapore</w:t>
      </w:r>
      <w:r>
        <w:t xml:space="preserve"> </w:t>
      </w:r>
      <w:r>
        <w:t xml:space="preserve">and globally.</w:t>
      </w:r>
    </w:p>
    <w:bookmarkEnd w:id="27"/>
    <w:bookmarkStart w:id="28" w:name="biosecurity-and-dual-use-research"/>
    <w:p>
      <w:pPr>
        <w:pStyle w:val="Heading3"/>
      </w:pPr>
      <w:r>
        <w:t xml:space="preserve">4.2 Biosecurity and Dual-Use Research</w:t>
      </w:r>
    </w:p>
    <w:p>
      <w:pPr>
        <w:pStyle w:val="FirstParagraph"/>
      </w:pPr>
      <w:r>
        <w:t xml:space="preserve">Given the high concentration of biomedical research, an academic researcher dealing with biological agents must adhere to strict biosecurity protocols mandated by the Ministry of Health (MOH) and A*STAR. Furthermore, regulations concerning dual-use research—science that can be used for both civilian and military purposes—are strictly enforced. This ensures that while</w:t>
      </w:r>
      <w:r>
        <w:t xml:space="preserve"> </w:t>
      </w:r>
      <w:r>
        <w:rPr>
          <w:bCs/>
          <w:b/>
        </w:rPr>
        <w:t xml:space="preserve">Singapore Singapore</w:t>
      </w:r>
      <w:r>
        <w:t xml:space="preserve"> </w:t>
      </w:r>
      <w:r>
        <w:t xml:space="preserve">remains open to global scientific exchange, it maintains national security standards.</w:t>
      </w:r>
    </w:p>
    <w:bookmarkEnd w:id="28"/>
    <w:bookmarkStart w:id="29" w:name="ethical-review-boards"/>
    <w:p>
      <w:pPr>
        <w:pStyle w:val="Heading3"/>
      </w:pPr>
      <w:r>
        <w:t xml:space="preserve">4.3 Ethical Review Boards</w:t>
      </w:r>
    </w:p>
    <w:p>
      <w:pPr>
        <w:pStyle w:val="FirstParagraph"/>
      </w:pPr>
      <w:r>
        <w:t xml:space="preserve">All research involving human subjects or animals requires rigorous approval from Institutional Review Boards (IRBs) or Animal Ethics Committees. The standards in Singapore are comparable to those in the United States and Europe, ensuring that an academic researcher upholds global ethical norms while working within the local context.</w:t>
      </w:r>
    </w:p>
    <w:bookmarkEnd w:id="29"/>
    <w:bookmarkEnd w:id="30"/>
    <w:bookmarkStart w:id="31" w:name="challenges"/>
    <w:p>
      <w:pPr>
        <w:pStyle w:val="Heading2"/>
      </w:pPr>
      <w:r>
        <w:t xml:space="preserve">5. Challenges and Strategic Imperatives</w:t>
      </w:r>
    </w:p>
    <w:p>
      <w:pPr>
        <w:pStyle w:val="FirstParagraph"/>
      </w:pPr>
      <w:r>
        <w:t xml:space="preserve">Despite the advantages, an academic researcher in this region faces distinct challenges. The cost of living in Singapore is high, which can impact recruitment and retention of junior researchers. Additionally, the competitive pressure to publish in high-impact journals while simultaneously driving commercial outcomes can lead to burnout.</w:t>
      </w:r>
    </w:p>
    <w:p>
      <w:pPr>
        <w:pStyle w:val="BodyText"/>
      </w:pPr>
      <w:r>
        <w:t xml:space="preserve">Furthermore, the small domestic market means that an academic researcher must think globally from day one. Collaborations with international partners are not optional but essential for scaling research impact beyond</w:t>
      </w:r>
      <w:r>
        <w:t xml:space="preserve"> </w:t>
      </w:r>
      <w:r>
        <w:rPr>
          <w:bCs/>
          <w:b/>
        </w:rPr>
        <w:t xml:space="preserve">Singapore Singapore</w:t>
      </w:r>
      <w:r>
        <w:t xml:space="preserve">. This global orientation requires strong soft skills and cross-cultural communication abilities alongside technical expertise.</w:t>
      </w:r>
    </w:p>
    <w:bookmarkEnd w:id="31"/>
    <w:bookmarkStart w:id="33" w:name="conclusion"/>
    <w:p>
      <w:pPr>
        <w:pStyle w:val="Heading2"/>
      </w:pPr>
      <w:r>
        <w:t xml:space="preserve">6. Conclusion</w:t>
      </w:r>
    </w:p>
    <w:p>
      <w:pPr>
        <w:pStyle w:val="FirstParagraph"/>
      </w:pPr>
      <w:r>
        <w:t xml:space="preserve">In conclusion, the role of an Academic Researcher in Singapore is multifaceted and strategically significant. It extends beyond the traditional boundaries of teaching and discovery to include nation-building, economic development, and international diplomacy. The environment in Singapore offers unparalleled access to funding, state-of-the-art infrastructure, and a collaborative ecosystem that bridges academia with industry.</w:t>
      </w:r>
    </w:p>
    <w:p>
      <w:pPr>
        <w:pStyle w:val="BodyText"/>
      </w:pPr>
      <w:r>
        <w:t xml:space="preserve">For an academic researcher operating in this region success depends on the ability to navigate complex regulatory frameworks while maintaining scientific integrity. As</w:t>
      </w:r>
      <w:r>
        <w:t xml:space="preserve"> </w:t>
      </w:r>
      <w:r>
        <w:rPr>
          <w:bCs/>
          <w:b/>
        </w:rPr>
        <w:t xml:space="preserve">Singapore Singapore</w:t>
      </w:r>
      <w:r>
        <w:t xml:space="preserve"> </w:t>
      </w:r>
      <w:r>
        <w:t xml:space="preserve">continues to evolve into a leading global knowledge hub, the academic researcher will remain at the forefront of this transformation, driving innovation that addresses both local challenges and global crises.</w:t>
      </w:r>
    </w:p>
    <w:p>
      <w:pPr>
        <w:pStyle w:val="BodyText"/>
      </w:pPr>
      <w:r>
        <w:t xml:space="preserve">This lab report underscores that the synergy between institutional support, regulatory clarity, and strategic vision creates a fertile ground for high-impact research. Future policies should continue to support work-life balance and long-term basic research alongside applied projects to ensure sustained excellence in Singapore’s academic landscape.</w:t>
      </w:r>
    </w:p>
    <w:p>
      <w:r>
        <w:pict>
          <v:rect style="width:0;height:1.5pt" o:hralign="center" o:hrstd="t" o:hr="t"/>
        </w:pict>
      </w:r>
    </w:p>
    <w:bookmarkStart w:id="32" w:name="references"/>
    <w:p>
      <w:pPr>
        <w:pStyle w:val="Heading3"/>
      </w:pPr>
      <w:r>
        <w:t xml:space="preserve">7. References</w:t>
      </w:r>
    </w:p>
    <w:p>
      <w:pPr>
        <w:numPr>
          <w:ilvl w:val="0"/>
          <w:numId w:val="1001"/>
        </w:numPr>
        <w:pStyle w:val="Compact"/>
      </w:pPr>
      <w:r>
        <w:t xml:space="preserve">- Ministry of Education Singapore. (2022). *Strategic Framework for Higher Education.*</w:t>
      </w:r>
    </w:p>
    <w:p>
      <w:pPr>
        <w:numPr>
          <w:ilvl w:val="0"/>
          <w:numId w:val="1001"/>
        </w:numPr>
        <w:pStyle w:val="Compact"/>
      </w:pPr>
      <w:r>
        <w:t xml:space="preserve">- Agency for Science, Technology and Research (A*STAR). (2023). *Annual Report on Biomedical Sciences.*</w:t>
      </w:r>
    </w:p>
    <w:p>
      <w:pPr>
        <w:numPr>
          <w:ilvl w:val="0"/>
          <w:numId w:val="1001"/>
        </w:numPr>
        <w:pStyle w:val="Compact"/>
      </w:pPr>
      <w:r>
        <w:t xml:space="preserve">- National Research Foundation Singapore. (2018-2025). *Research, Innovation and Enterprise Plan.*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and Operational Framework in Singapore</dc:title>
  <dc:creator/>
  <dc:language>en</dc:language>
  <cp:keywords/>
  <dcterms:created xsi:type="dcterms:W3CDTF">2026-07-29T17:15:23Z</dcterms:created>
  <dcterms:modified xsi:type="dcterms:W3CDTF">2026-07-29T17:15:23Z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