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Researcher</w:t>
      </w:r>
      <w:r>
        <w:t xml:space="preserve"> </w:t>
      </w:r>
      <w:r>
        <w:t xml:space="preserve">Deployment</w:t>
      </w:r>
      <w:r>
        <w:t xml:space="preserve"> </w:t>
      </w:r>
      <w:r>
        <w:t xml:space="preserve">in</w:t>
      </w:r>
      <w:r>
        <w:t xml:space="preserve"> </w:t>
      </w:r>
      <w:r>
        <w:t xml:space="preserve">South</w:t>
      </w:r>
      <w:r>
        <w:t xml:space="preserve"> </w:t>
      </w:r>
      <w:r>
        <w:t xml:space="preserve">Korea</w:t>
      </w:r>
      <w:r>
        <w:t xml:space="preserve"> </w:t>
      </w:r>
      <w:r>
        <w:t xml:space="preserve">Seoul</w:t>
      </w:r>
    </w:p>
    <w:bookmarkStart w:id="29" w:name="X907b4d4e08d041f4440801fb005109db54feef3"/>
    <w:p>
      <w:pPr>
        <w:pStyle w:val="Heading1"/>
      </w:pPr>
      <w:r>
        <w:t xml:space="preserve">Laboratory Report: Strategic Deployment of an Academic Researcher in South Korea Seoul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International Science Collaboration</w:t>
      </w:r>
      <w:r>
        <w:br/>
      </w:r>
      <w:r>
        <w:rPr>
          <w:bCs/>
          <w:b/>
        </w:rPr>
        <w:t xml:space="preserve">From:</w:t>
      </w:r>
      <w:r>
        <w:t xml:space="preserve"> </w:t>
      </w:r>
      <w:r>
        <w:t xml:space="preserve">Office of Global Operations</w:t>
      </w:r>
      <w:r>
        <w:br/>
      </w:r>
      <w:r>
        <w:rPr>
          <w:bCs/>
          <w:b/>
        </w:rPr>
        <w:t xml:space="preserve">Subject:</w:t>
      </w:r>
      <w:r>
        <w:t xml:space="preserve"> </w:t>
      </w:r>
      <w:r>
        <w:t xml:space="preserve">Operational Framework and Strategic Alignment for the Academic Researcher Position in South Korea Seoul</w:t>
      </w:r>
    </w:p>
    <w:bookmarkStart w:id="20" w:name="executive-summary"/>
    <w:p>
      <w:pPr>
        <w:pStyle w:val="Heading2"/>
      </w:pPr>
      <w:r>
        <w:t xml:space="preserve">1. Executive Summary</w:t>
      </w:r>
    </w:p>
    <w:p>
      <w:pPr>
        <w:pStyle w:val="FirstParagraph"/>
      </w:pPr>
      <w:r>
        <w:t xml:space="preserve">This</w:t>
      </w:r>
      <w:r>
        <w:t xml:space="preserve"> </w:t>
      </w:r>
      <w:r>
        <w:rPr>
          <w:bCs/>
          <w:b/>
        </w:rPr>
        <w:t xml:space="preserve">Lab Report</w:t>
      </w:r>
      <w:r>
        <w:t xml:space="preserve"> </w:t>
      </w:r>
      <w:r>
        <w:t xml:space="preserve">serves as a comprehensive operational document detailing the strategic implementation, logistical requirements, and scientific objectives associated with placing an</w:t>
      </w:r>
      <w:r>
        <w:t xml:space="preserve"> </w:t>
      </w:r>
      <w:r>
        <w:rPr>
          <w:bCs/>
          <w:b/>
        </w:rPr>
        <w:t xml:space="preserve">Academic Researcher</w:t>
      </w:r>
      <w:r>
        <w:t xml:space="preserve"> </w:t>
      </w:r>
      <w:r>
        <w:t xml:space="preserve">within the vibrant technological and academic ecosystem of</w:t>
      </w:r>
      <w:r>
        <w:t xml:space="preserve"> </w:t>
      </w:r>
      <w:r>
        <w:rPr>
          <w:bCs/>
          <w:b/>
        </w:rPr>
        <w:t xml:space="preserve">South Korea Seoul</w:t>
      </w:r>
      <w:r>
        <w:t xml:space="preserve">. As global research collaboration becomes increasingly critical in addressing complex challenges such as green energy transition, digital infrastructure, and public health resilience, the establishment of a dedicated research node in one of Asia’s most dynamic capital cities is paramount. This document outlines the methodologies for recruitment, the specific regulatory environments governing foreign academic personnel in</w:t>
      </w:r>
      <w:r>
        <w:t xml:space="preserve"> </w:t>
      </w:r>
      <w:r>
        <w:rPr>
          <w:bCs/>
          <w:b/>
        </w:rPr>
        <w:t xml:space="preserve">South Korea Seoul</w:t>
      </w:r>
      <w:r>
        <w:t xml:space="preserve">, and the projected outcomes for our joint initiative.</w:t>
      </w:r>
    </w:p>
    <w:bookmarkEnd w:id="20"/>
    <w:bookmarkStart w:id="21" w:name="introduction-and-contextual-background"/>
    <w:p>
      <w:pPr>
        <w:pStyle w:val="Heading2"/>
      </w:pPr>
      <w:r>
        <w:t xml:space="preserve">2. Introduction and Contextual Background</w:t>
      </w:r>
    </w:p>
    <w:p>
      <w:pPr>
        <w:pStyle w:val="FirstParagraph"/>
      </w:pPr>
      <w:r>
        <w:t xml:space="preserve">The city of</w:t>
      </w:r>
      <w:r>
        <w:t xml:space="preserve"> </w:t>
      </w:r>
      <w:r>
        <w:rPr>
          <w:bCs/>
          <w:b/>
        </w:rPr>
        <w:t xml:space="preserve">South Korea Seoul</w:t>
      </w:r>
      <w:r>
        <w:t xml:space="preserve"> </w:t>
      </w:r>
      <w:r>
        <w:t xml:space="preserve">has emerged as a global hub for innovation, ranking consistently among the top cities worldwide in terms of patent filings, digital infrastructure connectivity, and academic output. For our institution, positioning an</w:t>
      </w:r>
      <w:r>
        <w:t xml:space="preserve"> </w:t>
      </w:r>
      <w:r>
        <w:rPr>
          <w:bCs/>
          <w:b/>
        </w:rPr>
        <w:t xml:space="preserve">Academic Researcher</w:t>
      </w:r>
      <w:r>
        <w:t xml:space="preserve"> </w:t>
      </w:r>
      <w:r>
        <w:t xml:space="preserve">in this specific geographic location offers unparalleled access to state-of-the-art facilities and collaboration with leading institutions such as KAIST (Korea Advanced Institute of Science and Technology), SNU (Seoul National University), and Yonsei University.</w:t>
      </w:r>
    </w:p>
    <w:p>
      <w:pPr>
        <w:pStyle w:val="BodyText"/>
      </w:pPr>
      <w:r>
        <w:t xml:space="preserve">The primary objective of this</w:t>
      </w:r>
      <w:r>
        <w:t xml:space="preserve"> </w:t>
      </w:r>
      <w:r>
        <w:rPr>
          <w:bCs/>
          <w:b/>
        </w:rPr>
        <w:t xml:space="preserve">Lab Report</w:t>
      </w:r>
      <w:r>
        <w:t xml:space="preserve"> </w:t>
      </w:r>
      <w:r>
        <w:t xml:space="preserve">is to define the scope of work for the incoming researcher. The role requires not only high-level scientific inquiry but also cultural competency and an understanding of the local regulatory landscape. By embedding our</w:t>
      </w:r>
      <w:r>
        <w:t xml:space="preserve"> </w:t>
      </w:r>
      <w:r>
        <w:rPr>
          <w:bCs/>
          <w:b/>
        </w:rPr>
        <w:t xml:space="preserve">Academic Researcher</w:t>
      </w:r>
      <w:r>
        <w:t xml:space="preserve"> </w:t>
      </w:r>
      <w:r>
        <w:t xml:space="preserve">in</w:t>
      </w:r>
      <w:r>
        <w:t xml:space="preserve"> </w:t>
      </w:r>
      <w:r>
        <w:rPr>
          <w:bCs/>
          <w:b/>
        </w:rPr>
        <w:t xml:space="preserve">South Korea Seoul</w:t>
      </w:r>
      <w:r>
        <w:t xml:space="preserve">, we aim to bridge theoretical knowledge with practical industrial applications, fostering a symbiotic relationship between academia and industry that is characteristic of the region’s economic model.</w:t>
      </w:r>
    </w:p>
    <w:bookmarkEnd w:id="21"/>
    <w:bookmarkStart w:id="24" w:name="X864ba2fef0b3baa981f76782f589371c5800ae4"/>
    <w:p>
      <w:pPr>
        <w:pStyle w:val="Heading2"/>
      </w:pPr>
      <w:r>
        <w:t xml:space="preserve">3. Methodological Framework for Research Deployment</w:t>
      </w:r>
    </w:p>
    <w:p>
      <w:pPr>
        <w:pStyle w:val="FirstParagraph"/>
      </w:pPr>
      <w:r>
        <w:t xml:space="preserve">To ensure the success of this initiative, we have developed a multi-phase approach. This</w:t>
      </w:r>
      <w:r>
        <w:t xml:space="preserve"> </w:t>
      </w:r>
      <w:r>
        <w:rPr>
          <w:bCs/>
          <w:b/>
        </w:rPr>
        <w:t xml:space="preserve">Lab Report</w:t>
      </w:r>
      <w:r>
        <w:t xml:space="preserve"> </w:t>
      </w:r>
      <w:r>
        <w:t xml:space="preserve">details the specific steps required to transition from conceptual planning to operational execution.</w:t>
      </w:r>
    </w:p>
    <w:bookmarkStart w:id="22" w:name="X77cadc65bfe8a0833d0a4533a2cca7f162a40f1"/>
    <w:p>
      <w:pPr>
        <w:pStyle w:val="Heading3"/>
      </w:pPr>
      <w:r>
        <w:t xml:space="preserve">Phase 1: Regulatory Compliance and Visa Procurement</w:t>
      </w:r>
    </w:p>
    <w:p>
      <w:pPr>
        <w:pStyle w:val="FirstParagraph"/>
      </w:pPr>
      <w:r>
        <w:t xml:space="preserve">The first critical step involves securing the appropriate legal status for an</w:t>
      </w:r>
      <w:r>
        <w:t xml:space="preserve"> </w:t>
      </w:r>
      <w:r>
        <w:rPr>
          <w:bCs/>
          <w:b/>
        </w:rPr>
        <w:t xml:space="preserve">Academic Researcher</w:t>
      </w:r>
      <w:r>
        <w:t xml:space="preserve">. In</w:t>
      </w:r>
      <w:r>
        <w:t xml:space="preserve"> </w:t>
      </w:r>
      <w:r>
        <w:rPr>
          <w:bCs/>
          <w:b/>
        </w:rPr>
        <w:t xml:space="preserve">South Korea Seoul</w:t>
      </w:r>
      <w:r>
        <w:t xml:space="preserve">, foreign nationals engaged in academic activities must obtain a D-2 (Student) or E-7 (Specialized Occupation) visa, depending on the specific nature of the appointment. Our legal team has identified that the E-7 visa is most suitable for this position, provided we can demonstrate a clear need for specialized knowledge. The accompanying documentation within this</w:t>
      </w:r>
      <w:r>
        <w:t xml:space="preserve"> </w:t>
      </w:r>
      <w:r>
        <w:rPr>
          <w:bCs/>
          <w:b/>
        </w:rPr>
        <w:t xml:space="preserve">Lab Report</w:t>
      </w:r>
      <w:r>
        <w:t xml:space="preserve"> </w:t>
      </w:r>
      <w:r>
        <w:t xml:space="preserve">includes a checklist of required attestations from the Ministry of Justice in</w:t>
      </w:r>
      <w:r>
        <w:t xml:space="preserve"> </w:t>
      </w:r>
      <w:r>
        <w:rPr>
          <w:bCs/>
          <w:b/>
        </w:rPr>
        <w:t xml:space="preserve">South Korea Seoul</w:t>
      </w:r>
      <w:r>
        <w:t xml:space="preserve">.</w:t>
      </w:r>
    </w:p>
    <w:bookmarkEnd w:id="22"/>
    <w:bookmarkStart w:id="23" w:name="Xe6529481614a0d1fff0172130d5be24257d1778"/>
    <w:p>
      <w:pPr>
        <w:pStyle w:val="Heading3"/>
      </w:pPr>
      <w:r>
        <w:t xml:space="preserve">Phase 2: Institutional Integration and Lab Setup</w:t>
      </w:r>
    </w:p>
    <w:p>
      <w:pPr>
        <w:pStyle w:val="FirstParagraph"/>
      </w:pPr>
      <w:r>
        <w:t xml:space="preserve">The physical lab space has been reserved within a co-working scientific park located in the Gangnam district of</w:t>
      </w:r>
      <w:r>
        <w:t xml:space="preserve"> </w:t>
      </w:r>
      <w:r>
        <w:rPr>
          <w:bCs/>
          <w:b/>
        </w:rPr>
        <w:t xml:space="preserve">South Korea Seoul</w:t>
      </w:r>
      <w:r>
        <w:t xml:space="preserve">. This location was chosen for its proximity to biotechnology firms and digital startups. The</w:t>
      </w:r>
      <w:r>
        <w:t xml:space="preserve"> </w:t>
      </w:r>
      <w:r>
        <w:rPr>
          <w:bCs/>
          <w:b/>
        </w:rPr>
        <w:t xml:space="preserve">Academic Researcher</w:t>
      </w:r>
      <w:r>
        <w:t xml:space="preserve"> </w:t>
      </w:r>
      <w:r>
        <w:t xml:space="preserve">will be granted access to high-performance computing clusters and wet-lab facilities. Safety protocols, which are strictly enforced in</w:t>
      </w:r>
      <w:r>
        <w:t xml:space="preserve"> </w:t>
      </w:r>
      <w:r>
        <w:rPr>
          <w:bCs/>
          <w:b/>
        </w:rPr>
        <w:t xml:space="preserve">South Korea Seoul</w:t>
      </w:r>
      <w:r>
        <w:t xml:space="preserve">, have been reviewed against our institutional standards to ensure full compliance.</w:t>
      </w:r>
    </w:p>
    <w:bookmarkEnd w:id="23"/>
    <w:bookmarkEnd w:id="24"/>
    <w:bookmarkStart w:id="25" w:name="X3814a8733289fa8fc7652e5226f6e683fd3a129"/>
    <w:p>
      <w:pPr>
        <w:pStyle w:val="Heading2"/>
      </w:pPr>
      <w:r>
        <w:t xml:space="preserve">4. Strategic Objectives and Key Performance Indicators (KPIs)</w:t>
      </w:r>
    </w:p>
    <w:p>
      <w:pPr>
        <w:pStyle w:val="FirstParagraph"/>
      </w:pPr>
      <w:r>
        <w:t xml:space="preserve">The success of the</w:t>
      </w:r>
      <w:r>
        <w:t xml:space="preserve"> </w:t>
      </w:r>
      <w:r>
        <w:rPr>
          <w:bCs/>
          <w:b/>
        </w:rPr>
        <w:t xml:space="preserve">Academic Researcher</w:t>
      </w:r>
      <w:r>
        <w:t xml:space="preserve"> </w:t>
      </w:r>
      <w:r>
        <w:t xml:space="preserve">will be measured against several KPIs over a 24-month period. These metrics are designed to reflect both academic excellence and regional impact.</w:t>
      </w:r>
    </w:p>
    <w:p>
      <w:pPr>
        <w:pStyle w:val="BodyText"/>
      </w:pPr>
      <w:r>
        <w:t xml:space="preserve">Metric Category</w:t>
      </w:r>
    </w:p>
    <w:p>
      <w:pPr>
        <w:pStyle w:val="BodyText"/>
      </w:pPr>
      <w:r>
        <w:t xml:space="preserve">Description of Objective</w:t>
      </w:r>
    </w:p>
    <w:p>
      <w:pPr>
        <w:pStyle w:val="BodyText"/>
      </w:pPr>
      <w:r>
        <w:t xml:space="preserve">Target Outcome in South Korea Seoul Context</w:t>
      </w:r>
    </w:p>
    <w:p>
      <w:pPr>
        <w:pStyle w:val="BodyText"/>
      </w:pPr>
      <w:r>
        <w:t xml:space="preserve">Research Output &amp; Publications</w:t>
      </w:r>
    </w:p>
    <w:p>
      <w:pPr>
        <w:pStyle w:val="BodyText"/>
      </w:pPr>
      <w:r>
        <w:t xml:space="preserve">The role demands a rigorous commitment to scholarly dissemination. The Academic Researcher is expected to publish at least three peer-reviewed articles annually. Given the competitive nature of academic publishing in Asia, local journals and international Q1 journals are both acceptable venues.</w:t>
      </w:r>
    </w:p>
    <w:p>
      <w:pPr>
        <w:pStyle w:val="BodyText"/>
      </w:pPr>
      <w:r>
        <w:t xml:space="preserve">Collaboration &amp; Networking</w:t>
      </w:r>
    </w:p>
    <w:p>
      <w:pPr>
        <w:pStyle w:val="BodyText"/>
      </w:pPr>
      <w:r>
        <w:t xml:space="preserve">Cross-institutional partnerships</w:t>
      </w:r>
    </w:p>
    <w:p>
      <w:pPr>
        <w:pStyle w:val="BodyText"/>
      </w:pPr>
      <w:r>
        <w:t xml:space="preserve">Establish at least two formal memoranda of understanding (MoUs) with universities or research institutes in South Korea Seoul.</w:t>
      </w:r>
    </w:p>
    <w:p>
      <w:pPr>
        <w:pStyle w:val="BodyText"/>
      </w:pPr>
      <w:r>
        <w:t xml:space="preserve">Industry Engagement</w:t>
      </w:r>
    </w:p>
    <w:p>
      <w:pPr>
        <w:pStyle w:val="BodyText"/>
      </w:pPr>
      <w:r>
        <w:t xml:space="preserve">A hallmark of the Seoul tech ecosystem is the close tie between academia and industry. The Academic Researcher must engage in at least four industry seminars or workshops per year.</w:t>
      </w:r>
    </w:p>
    <w:p>
      <w:pPr>
        <w:pStyle w:val="BodyText"/>
      </w:pPr>
      <w:r>
        <w:t xml:space="preserve">Facilitate one technology transfer or licensing discussion with a local firm.</w:t>
      </w:r>
    </w:p>
    <w:p>
      <w:pPr>
        <w:pStyle w:val="BodyText"/>
      </w:pPr>
      <w:r>
        <w:t xml:space="preserve">Cultural &amp; Linguistic Competency</w:t>
      </w:r>
    </w:p>
    <w:p>
      <w:pPr>
        <w:pStyle w:val="BodyText"/>
      </w:pPr>
      <w:r>
        <w:t xml:space="preserve">To function effectively, the Academic Researcher must demonstrate proficiency in navigating the local academic culture. While English is widely used in research, basic Korean language skills are highly valued and often required for administrative tasks.</w:t>
      </w:r>
    </w:p>
    <w:p>
      <w:pPr>
        <w:pStyle w:val="BodyText"/>
      </w:pPr>
      <w:r>
        <w:t xml:space="preserve">Completion of an intermediate Korean language course relevant to academic terminology.</w:t>
      </w:r>
    </w:p>
    <w:p>
      <w:pPr>
        <w:pStyle w:val="BodyText"/>
      </w:pPr>
      <w:r>
        <w:t xml:space="preserve">Funding Acquisition</w:t>
      </w:r>
    </w:p>
    <w:p>
      <w:pPr>
        <w:pStyle w:val="BodyText"/>
      </w:pPr>
      <w:r>
        <w:t xml:space="preserve">Sustaining the lab requires external funding. The Academic Researcher is tasked with identifying grant opportunities specific to South Korea Seoul, such as those from the National Research Foundation of Korea (NRF).</w:t>
      </w:r>
    </w:p>
    <w:p>
      <w:pPr>
        <w:pStyle w:val="BodyText"/>
      </w:pPr>
      <w:r>
        <w:t xml:space="preserve">Submit at least two successful grant applications totaling $100,000 USD equivalent.</w:t>
      </w:r>
    </w:p>
    <w:p>
      <w:pPr>
        <w:pStyle w:val="BodyText"/>
      </w:pPr>
      <w:r>
        <w:rPr>
          <w:iCs/>
          <w:i/>
        </w:rPr>
        <w:t xml:space="preserve">Note: The metrics above are tailored to the unique regulatory and academic environment of South Korea Seoul.</w:t>
      </w:r>
    </w:p>
    <w:bookmarkEnd w:id="25"/>
    <w:bookmarkStart w:id="27" w:name="X8c485bf2398b5564c91d72d123e110ce24f126e"/>
    <w:p>
      <w:pPr>
        <w:pStyle w:val="Heading2"/>
      </w:pPr>
      <w:r>
        <w:t xml:space="preserve">5. Operational Challenges and Mitigation Strategies</w:t>
      </w:r>
    </w:p>
    <w:p>
      <w:pPr>
        <w:pStyle w:val="FirstParagraph"/>
      </w:pPr>
      <w:r>
        <w:t xml:space="preserve">This</w:t>
      </w:r>
      <w:r>
        <w:t xml:space="preserve"> </w:t>
      </w:r>
      <w:r>
        <w:rPr>
          <w:bCs/>
          <w:b/>
        </w:rPr>
        <w:t xml:space="preserve">Lab Report</w:t>
      </w:r>
      <w:r>
        <w:t xml:space="preserve"> </w:t>
      </w:r>
      <w:r>
        <w:t xml:space="preserve">acknowledges that deploying an</w:t>
      </w:r>
      <w:r>
        <w:t xml:space="preserve"> </w:t>
      </w:r>
      <w:r>
        <w:rPr>
          <w:bCs/>
          <w:b/>
        </w:rPr>
        <w:t xml:space="preserve">Academic Researcher</w:t>
      </w:r>
      <w:r>
        <w:t xml:space="preserve"> </w:t>
      </w:r>
      <w:r>
        <w:t xml:space="preserve">to</w:t>
      </w:r>
      <w:r>
        <w:t xml:space="preserve"> </w:t>
      </w:r>
      <w:r>
        <w:rPr>
          <w:bCs/>
          <w:b/>
        </w:rPr>
        <w:t xml:space="preserve">South Korea Seoul</w:t>
      </w:r>
      <w:r>
        <w:br/>
      </w:r>
      <w:r>
        <w:t xml:space="preserve">presents unique challenges.</w:t>
      </w:r>
    </w:p>
    <w:p>
      <w:pPr>
        <w:pStyle w:val="BodyText"/>
      </w:pPr>
      <w:hyperlink w:anchor="ch1">
        <w:r>
          <w:rPr>
            <w:rStyle w:val="Hyperlink"/>
          </w:rPr>
          <w:t xml:space="preserve">Challenges:</w:t>
        </w:r>
      </w:hyperlink>
    </w:p>
    <w:p>
      <w:pPr>
        <w:numPr>
          <w:ilvl w:val="0"/>
          <w:numId w:val="1001"/>
        </w:numPr>
        <w:pStyle w:val="Compact"/>
      </w:pPr>
      <w:bookmarkStart w:id="26" w:name="ch1"/>
      <w:r>
        <w:t xml:space="preserve">Regulatory Complexity: The bureaucratic processes in South Korea Seoul can be time-consuming.</w:t>
      </w:r>
      <w:r>
        <w:br/>
      </w:r>
      <w:r>
        <w:rPr>
          <w:iCs/>
          <w:i/>
        </w:rPr>
        <w:t xml:space="preserve">Mitigation:</w:t>
      </w:r>
      <w:r>
        <w:t xml:space="preserve"> </w:t>
      </w:r>
      <w:r>
        <w:t xml:space="preserve">We have appointed a local liaison officer to assist with paperwork.</w:t>
      </w:r>
      <w:bookmarkEnd w:id="26"/>
    </w:p>
    <w:p>
      <w:pPr>
        <w:numPr>
          <w:ilvl w:val="0"/>
          <w:numId w:val="1001"/>
        </w:numPr>
        <w:pStyle w:val="Compact"/>
      </w:pPr>
      <w:r>
        <w:t xml:space="preserve">Cultural Integration: High-context communication styles in South Korean academia may differ from Western directness.</w:t>
      </w:r>
      <w:r>
        <w:br/>
      </w:r>
      <w:r>
        <w:rPr>
          <w:iCs/>
          <w:i/>
        </w:rPr>
        <w:t xml:space="preserve">Mitigation:</w:t>
      </w:r>
      <w:r>
        <w:t xml:space="preserve"> </w:t>
      </w:r>
      <w:r>
        <w:t xml:space="preserve">Cultural sensitivity training is mandatory for the Academic Researcher prior to arrival.</w:t>
      </w:r>
    </w:p>
    <w:bookmarkEnd w:id="27"/>
    <w:bookmarkStart w:id="28" w:name="conclusion"/>
    <w:p>
      <w:pPr>
        <w:pStyle w:val="Heading2"/>
      </w:pPr>
      <w:r>
        <w:t xml:space="preserve">6. Conclusion</w:t>
      </w:r>
    </w:p>
    <w:p>
      <w:pPr>
        <w:pStyle w:val="FirstParagraph"/>
      </w:pPr>
      <w:r>
        <w:t xml:space="preserve">In conclusion, this</w:t>
      </w:r>
      <w:r>
        <w:t xml:space="preserve"> </w:t>
      </w:r>
      <w:r>
        <w:rPr>
          <w:bCs/>
          <w:b/>
        </w:rPr>
        <w:t xml:space="preserve">Lab Report</w:t>
      </w:r>
      <w:r>
        <w:t xml:space="preserve"> </w:t>
      </w:r>
      <w:r>
        <w:t xml:space="preserve">affirms that the deployment of an</w:t>
      </w:r>
      <w:r>
        <w:t xml:space="preserve"> </w:t>
      </w:r>
      <w:r>
        <w:rPr>
          <w:bCs/>
          <w:b/>
        </w:rPr>
        <w:t xml:space="preserve">Academic Researcher</w:t>
      </w:r>
      <w:r>
        <w:t xml:space="preserve"> </w:t>
      </w:r>
      <w:r>
        <w:t xml:space="preserve">to</w:t>
      </w:r>
    </w:p>
    <w:p>
      <w:pPr>
        <w:pStyle w:val="BodyText"/>
      </w:pPr>
      <w:r>
        <w:t xml:space="preserve">is a strategically sound decision with high potential for scientific and diplomatic impact. By adhering to the guidelines outlined herein, we ensure not only the safety and legal compliance of our personnel but also their academic productivity.</w:t>
      </w:r>
    </w:p>
    <w:p>
      <w:pPr>
        <w:pStyle w:val="BodyText"/>
      </w:pPr>
      <w:r>
        <w:t xml:space="preserve">The combination of world-class facilities in</w:t>
      </w:r>
      <w:r>
        <w:t xml:space="preserve"> </w:t>
      </w:r>
      <w:r>
        <w:rPr>
          <w:bCs/>
          <w:b/>
        </w:rPr>
        <w:t xml:space="preserve">South Korea Seoul</w:t>
      </w:r>
      <w:r>
        <w:t xml:space="preserve">, combined with our institution's resources, creates a fertile ground for innovation. We anticipate that this initiative will serve as a model for future international collaborations. The next steps involve finalizing the contract with the selected candidate and initiating the visa process immediately.</w:t>
      </w:r>
    </w:p>
    <w:p>
      <w:pPr>
        <w:pStyle w:val="BodyText"/>
      </w:pPr>
      <w:r>
        <w:t xml:space="preserve">This document is classified as Internal Use Only. All rights reserved.</w:t>
      </w:r>
      <w:r>
        <w:br/>
      </w:r>
      <w:r>
        <w:t xml:space="preserve">Generated for Department of International Science Collaboration.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Researcher Deployment in South Korea Seoul</dc:title>
  <dc:creator/>
  <dc:language>en</dc:language>
  <cp:keywords/>
  <dcterms:created xsi:type="dcterms:W3CDTF">2026-07-29T15:35:43Z</dcterms:created>
  <dcterms:modified xsi:type="dcterms:W3CDTF">2026-07-29T15:35:43Z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