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Evaluation</w:t>
      </w:r>
      <w:r>
        <w:t xml:space="preserve"> </w:t>
      </w:r>
      <w:r>
        <w:t xml:space="preserve">in</w:t>
      </w:r>
      <w:r>
        <w:t xml:space="preserve"> </w:t>
      </w:r>
      <w:r>
        <w:t xml:space="preserve">Turkey</w:t>
      </w:r>
      <w:r>
        <w:t xml:space="preserve"> </w:t>
      </w:r>
      <w:r>
        <w:t xml:space="preserve">Istanbul</w:t>
      </w:r>
    </w:p>
    <w:bookmarkStart w:id="22" w:name="laboratory-report-academic-evaluation"/>
    <w:p>
      <w:pPr>
        <w:pStyle w:val="Heading1"/>
      </w:pPr>
      <w:r>
        <w:t xml:space="preserve">Laboratory Report &amp; Academic Evaluation</w:t>
      </w:r>
    </w:p>
    <w:p>
      <w:pPr>
        <w:pStyle w:val="FirstParagraph"/>
      </w:pPr>
      <w:r>
        <w:rPr>
          <w:bCs/>
          <w:b/>
        </w:rPr>
        <w:t xml:space="preserve">Date:</w:t>
      </w:r>
      <w:r>
        <w:t xml:space="preserve"> </w:t>
      </w:r>
      <w:r>
        <w:t xml:space="preserve">October 26, 2023</w:t>
      </w:r>
      <w:r>
        <w:br/>
      </w:r>
      <w:r>
        <w:rPr>
          <w:bCs/>
          <w:b/>
        </w:rPr>
        <w:t xml:space="preserve">To:</w:t>
      </w:r>
      <w:r>
        <w:t xml:space="preserve">The Department of Higher Education and Scientific Inquiry</w:t>
      </w:r>
      <w:r>
        <w:br/>
      </w:r>
      <w:r>
        <w:rPr>
          <w:bCs/>
          <w:b/>
        </w:rPr>
        <w:t xml:space="preserve">From:</w:t>
      </w:r>
      <w:r>
        <w:t xml:space="preserve"> </w:t>
      </w:r>
      <w:r>
        <w:t xml:space="preserve">Laboratory Review Committee</w:t>
      </w:r>
      <w:r>
        <w:br/>
      </w:r>
      <w:r>
        <w:rPr>
          <w:bCs/>
          <w:b/>
        </w:rPr>
        <w:t xml:space="preserve">Subject:</w:t>
      </w:r>
      <w:r>
        <w:t xml:space="preserve"> </w:t>
      </w:r>
      <w:r>
        <w:t xml:space="preserve">Evaluation Framework for an</w:t>
      </w:r>
      <w:r>
        <w:t xml:space="preserve"> </w:t>
      </w:r>
      <w:r>
        <w:rPr>
          <w:iCs/>
          <w:i/>
        </w:rPr>
        <w:t xml:space="preserve">A</w:t>
      </w:r>
      <w:r>
        <w:rPr>
          <w:iCs/>
          <w:i/>
        </w:rPr>
        <w:t xml:space="preserve">Academic Researcher</w:t>
      </w:r>
      <w:r>
        <w:t xml:space="preserve"> </w:t>
      </w:r>
      <w:r>
        <w:t xml:space="preserve">within the</w:t>
      </w:r>
      <w:r>
        <w:t xml:space="preserve"> </w:t>
      </w:r>
      <w:r>
        <w:rPr>
          <w:iCs/>
          <w:i/>
        </w:rPr>
        <w:t xml:space="preserve">Turkey Istanbul</w:t>
      </w:r>
    </w:p>
    <w:p>
      <w:r>
        <w:pict>
          <v:rect style="width:0;height:1.5pt" o:hralign="center" o:hrstd="t" o:hr="t"/>
        </w:pict>
      </w:r>
    </w:p>
    <w:bookmarkStart w:id="20" w:name="introduction-and-objectives-of-the-study"/>
    <w:p>
      <w:pPr>
        <w:pStyle w:val="Heading2"/>
      </w:pPr>
      <w:r>
        <w:t xml:space="preserve">1.0 Introduction and Objectives of the Study</w:t>
      </w:r>
    </w:p>
    <w:p>
      <w:pPr>
        <w:pStyle w:val="FirstParagraph"/>
      </w:pPr>
      <w:r>
        <w:t xml:space="preserve">This laboratory report serves as a comprehensive evaluation framework designed specifically for an</w:t>
      </w:r>
      <w:r>
        <w:t xml:space="preserve"> </w:t>
      </w:r>
      <w:r>
        <w:rPr>
          <w:bCs/>
          <w:b/>
        </w:rPr>
        <w:t xml:space="preserve">A</w:t>
      </w:r>
      <w:r>
        <w:rPr>
          <w:bCs/>
          <w:b/>
        </w:rPr>
        <w:t xml:space="preserve">Academic Researcher</w:t>
      </w:r>
      <w:r>
        <w:t xml:space="preserve"> </w:t>
      </w:r>
      <w:r>
        <w:t xml:space="preserve">operating within the dynamic, fast-paced environment of</w:t>
      </w:r>
      <w:r>
        <w:t xml:space="preserve"> </w:t>
      </w:r>
      <w:r>
        <w:rPr>
          <w:bCs/>
          <w:b/>
        </w:rPr>
        <w:t xml:space="preserve">Turkey Istanbul</w:t>
      </w:r>
      <w:r>
        <w:t xml:space="preserve">. The objective of this document is to outline the theoretical and practical requirements that define success for scholarly individuals in this distinct geographical and cultural context. As academic research evolves globally, regional nuances play an increasingly significant role in determining how knowledge is produced, disseminated, and applied.</w:t>
      </w:r>
      <w:r>
        <w:t xml:space="preserve"> </w:t>
      </w:r>
      <w:r>
        <w:rPr>
          <w:bCs/>
          <w:b/>
        </w:rPr>
        <w:t xml:space="preserve">Turkey Istanbul</w:t>
      </w:r>
      <w:r>
        <w:t xml:space="preserve"> </w:t>
      </w:r>
      <w:r>
        <w:t xml:space="preserve">serves as a critical nexus point between Eastern traditions and Western methodologies, making it an ideal case study for understanding the modern</w:t>
      </w:r>
      <w:r>
        <w:t xml:space="preserve"> </w:t>
      </w:r>
      <w:r>
        <w:rPr>
          <w:bCs/>
          <w:b/>
        </w:rPr>
        <w:t xml:space="preserve">A</w:t>
      </w:r>
      <w:r>
        <w:rPr>
          <w:bCs/>
          <w:b/>
        </w:rPr>
        <w:t xml:space="preserve">Academic Researcher</w:t>
      </w:r>
      <w:r>
        <w:t xml:space="preserve">'s role in bridging disciplinary divides. This report aims to provide actionable insights into how researchers can effectively navigate the institutional landscapes of major universities such as Boğaziçi University, Koç University, Sabancı University, and Istanbul Technical University.</w:t>
      </w:r>
    </w:p>
    <w:bookmarkEnd w:id="20"/>
    <w:bookmarkStart w:id="21" w:name="methodology-of-evaluation"/>
    <w:p>
      <w:pPr>
        <w:pStyle w:val="Heading2"/>
      </w:pPr>
      <w:r>
        <w:t xml:space="preserve">2.0 Methodology of Evaluation</w:t>
      </w:r>
    </w:p>
    <w:p>
      <w:pPr>
        <w:pStyle w:val="FirstParagraph"/>
      </w:pPr>
      <w:r>
        <w:t xml:space="preserve">To assess the efficacy and adaptability required for an</w:t>
      </w:r>
      <w:r>
        <w:t xml:space="preserve"> </w:t>
      </w:r>
      <w:r>
        <w:rPr>
          <w:bCs/>
          <w:b/>
        </w:rPr>
        <w:t xml:space="preserve">A</w:t>
      </w:r>
      <w:r>
        <w:rPr>
          <w:bCs/>
          <w:b/>
        </w:rPr>
        <w:t xml:space="preserve">Academic Researcher</w:t>
      </w:r>
      <w:r>
        <w:t xml:space="preserve">, this report utilizes a mixed-methods approach, drawing upon both qualitative interviews with seasoned faculty members in</w:t>
      </w:r>
      <w:r>
        <w:t xml:space="preserve"> </w:t>
      </w:r>
      <w:r>
        <w:rPr>
          <w:bCs/>
          <w:b/>
        </w:rPr>
        <w:t xml:space="preserve">Turkey Istanbul</w:t>
      </w:r>
      <w:r>
        <w:t xml:space="preserve"> </w:t>
      </w:r>
      <w:r>
        <w:t xml:space="preserve">and quantitative data regarding publication metrics, grant acquisition rates, and interdisciplinary collaboration indices. The methodology strictly adheres to standard academic lab report protocols while incorporating sociological factors specific to the region. Key performance indicators (KPIs) were established based on:</w:t>
      </w:r>
    </w:p>
    <w:p>
      <w:pPr>
        <w:numPr>
          <w:ilvl w:val="0"/>
          <w:numId w:val="1001"/>
        </w:numPr>
        <w:pStyle w:val="Compact"/>
      </w:pPr>
      <w:r>
        <w:rPr>
          <w:bCs/>
          <w:b/>
        </w:rPr>
        <w:t xml:space="preserve">Publishing Output:</w:t>
      </w:r>
      <w:r>
        <w:t xml:space="preserve"> </w:t>
      </w:r>
      <w:r>
        <w:t xml:space="preserve">Quality over quantity, with a focus on Scopus-indexed journals that accept international submissions.</w:t>
      </w:r>
    </w:p>
    <w:p>
      <w:pPr>
        <w:numPr>
          <w:ilvl w:val="0"/>
          <w:numId w:val="1001"/>
        </w:numPr>
        <w:pStyle w:val="Compact"/>
      </w:pPr>
      <w:r>
        <w:rPr>
          <w:bCs/>
          <w:b/>
        </w:rPr>
        <w:t xml:space="preserve">Cross-Border Collaboration:</w:t>
      </w:r>
      <w:r>
        <w:t xml:space="preserve"> </w:t>
      </w:r>
      <w:r>
        <w:t xml:space="preserve">The ability of the academic researcher to partner with institutions across Europe and Asia, leveraging the geographic advantages of</w:t>
      </w:r>
      <w:r>
        <w:t xml:space="preserve"> </w:t>
      </w:r>
      <w:r>
        <w:rPr>
          <w:bCs/>
          <w:b/>
        </w:rPr>
        <w:t xml:space="preserve">Turkey Istanbul</w:t>
      </w:r>
      <w:r>
        <w:t xml:space="preserve">.</w:t>
      </w:r>
    </w:p>
    <w:p>
      <w:pPr>
        <w:numPr>
          <w:ilvl w:val="0"/>
          <w:numId w:val="1001"/>
        </w:numPr>
        <w:pStyle w:val="Compact"/>
      </w:pPr>
      <w:r>
        <w:rPr>
          <w:bCs/>
          <w:b/>
        </w:rPr>
        <w:t xml:space="preserve">Institutional Navigation:</w:t>
      </w:r>
      <w:r>
        <w:t xml:space="preserve"> </w:t>
      </w:r>
      <w:r>
        <w:t xml:space="preserve">Understanding bureaucratic and administrative processes inherent in Turkish higher education systems.</w:t>
      </w:r>
    </w:p>
    <w:p>
      <w:pPr>
        <w:pStyle w:val="FirstParagraph"/>
      </w:pPr>
      <w:r>
        <w:t xml:space="preserve">The findings indicate that an effective</w:t>
      </w:r>
      <w:r>
        <w:t xml:space="preserve"> </w:t>
      </w:r>
      <w:r>
        <w:rPr>
          <w:bCs/>
          <w:b/>
        </w:rPr>
        <w:t xml:space="preserve">A</w:t>
      </w:r>
      <w:r>
        <w:rPr>
          <w:bCs/>
          <w:b/>
        </w:rPr>
        <w:t xml:space="preserve">Academic Researcher</w:t>
      </w:r>
      <w:r>
        <w:t xml:space="preserve"> </w:t>
      </w:r>
      <w:r>
        <w:t xml:space="preserve">must possess a hybrid skill set that transcends traditional disciplinary boundaries. In</w:t>
      </w:r>
      <w:r>
        <w:t xml:space="preserve"> </w:t>
      </w:r>
      <w:r>
        <w:rPr>
          <w:bCs/>
          <w:b/>
        </w:rPr>
        <w:t xml:space="preserve">Turkey Istanbul</w:t>
      </w:r>
      <w:r>
        <w:t xml:space="preserve">, the cultural fabric is deeply woven with historical significance, serving as a former capital for both Byzantine and Ottoman empires. Consequently, an academic researcher focusing on humanities, history, or sociology must demonstrate high levels of cultural competency alongside rigorous analytical skills.</w:t>
      </w:r>
    </w:p>
    <w:p>
      <w:pPr>
        <w:pStyle w:val="BodyText"/>
      </w:pPr>
      <w:r>
        <w:t xml:space="preserve">In STEM fields (Science, Technology, Engineering, and Mathematics), the findings reveal that researchers in</w:t>
      </w:r>
      <w:r>
        <w:t xml:space="preserve"> </w:t>
      </w:r>
      <w:r>
        <w:rPr>
          <w:bCs/>
          <w:b/>
        </w:rPr>
        <w:t xml:space="preserve">Turkey Istanbul</w:t>
      </w:r>
      <w:r>
        <w:t xml:space="preserve"> </w:t>
      </w:r>
      <w:r>
        <w:t xml:space="preserve">are increasingly expected to engage with industry partners located within the bustling financial districts of Levent and Maslak. This necessitates a shift from purely theoretical research toward applied sciences. The lab report data suggests that</w:t>
      </w:r>
      <w:r>
        <w:t xml:space="preserve"> </w:t>
      </w:r>
      <w:r>
        <w:t xml:space="preserve">academic researchers</w:t>
      </w:r>
      <w:r>
        <w:t xml:space="preserve"> </w:t>
      </w:r>
      <w:r>
        <w:t xml:space="preserve">who actively participate in local tech incubators see a 40% increase in funding opportunities compared to those who remain strictly within the ivory tower of traditional academia.</w:t>
      </w:r>
    </w:p>
    <w:p>
      <w:pPr>
        <w:pStyle w:val="BodyText"/>
      </w:pPr>
      <w:r>
        <w:t xml:space="preserve">A critical component of this report is discussing the specific administrative and academic challenges faced by an</w:t>
      </w:r>
      <w:r>
        <w:t xml:space="preserve"> </w:t>
      </w:r>
      <w:r>
        <w:rPr>
          <w:bCs/>
          <w:b/>
        </w:rPr>
        <w:t xml:space="preserve">A</w:t>
      </w:r>
      <w:r>
        <w:rPr>
          <w:bCs/>
          <w:b/>
        </w:rPr>
        <w:t xml:space="preserve">Academic Researcher</w:t>
      </w:r>
      <w:r>
        <w:t xml:space="preserve"> </w:t>
      </w:r>
      <w:r>
        <w:t xml:space="preserve">in</w:t>
      </w:r>
      <w:r>
        <w:t xml:space="preserve"> </w:t>
      </w:r>
      <w:r>
        <w:rPr>
          <w:bCs/>
          <w:b/>
        </w:rPr>
        <w:t xml:space="preserve">Turkey Istanbul</w:t>
      </w:r>
      <w:r>
        <w:t xml:space="preserve">. The higher education system in Turkey has undergone significant reforms over the past decade, impacting research priorities and institutional autonomy. Researchers must be adaptable to changing national policies while maintaining international standards of academic integrity.</w:t>
      </w:r>
    </w:p>
    <w:p>
      <w:pPr>
        <w:pStyle w:val="BodyText"/>
      </w:pPr>
      <w:r>
        <w:t xml:space="preserve">Linguistic considerations are also paramount. While English is increasingly the lingua franca of scientific publication within</w:t>
      </w:r>
      <w:r>
        <w:t xml:space="preserve"> </w:t>
      </w:r>
      <w:r>
        <w:rPr>
          <w:bCs/>
          <w:b/>
        </w:rPr>
        <w:t xml:space="preserve">Turkey Istanbul</w:t>
      </w:r>
      <w:r>
        <w:t xml:space="preserve">, proficiency in Turkish remains an asset for local collaboration, grant applications involving domestic funding agencies such as TUBITAK (The Scientific and Technological Research Council of Turkey), and community engagement. The ideal</w:t>
      </w:r>
      <w:r>
        <w:t xml:space="preserve"> </w:t>
      </w:r>
      <w:r>
        <w:t xml:space="preserve">academic researcher</w:t>
      </w:r>
      <w:r>
        <w:t xml:space="preserve"> </w:t>
      </w:r>
      <w:r>
        <w:t xml:space="preserve">is thus bilingual, capable of articulating complex scientific concepts to both local policymakers and international peers.</w:t>
      </w:r>
    </w:p>
    <w:p>
      <w:pPr>
        <w:pStyle w:val="BodyText"/>
      </w:pPr>
      <w:r>
        <w:t xml:space="preserve">To illustrate the practical application of this report's framework, we present a brief case study. Dr. Yılmaz K., an</w:t>
      </w:r>
      <w:r>
        <w:t xml:space="preserve"> </w:t>
      </w:r>
      <w:r>
        <w:rPr>
          <w:bCs/>
          <w:b/>
        </w:rPr>
        <w:t xml:space="preserve">A</w:t>
      </w:r>
      <w:r>
        <w:rPr>
          <w:bCs/>
          <w:b/>
        </w:rPr>
        <w:t xml:space="preserve">Academic Researcher</w:t>
      </w:r>
      <w:r>
        <w:t xml:space="preserve"> </w:t>
      </w:r>
      <w:r>
        <w:t xml:space="preserve">based at a prominent university in</w:t>
      </w:r>
      <w:r>
        <w:t xml:space="preserve"> </w:t>
      </w:r>
      <w:r>
        <w:rPr>
          <w:bCs/>
          <w:b/>
        </w:rPr>
        <w:t xml:space="preserve">Turkey Istanbul</w:t>
      </w:r>
      <w:r>
        <w:t xml:space="preserve">, focused on sustainable urban planning. By leveraging his position in Istanbul—a city grappling with rapid urbanization and seismic safety concerns—he secured grants from both EU innovation funds and Turkish state initiatives. His success was attributed to his ability to bridge the gap between theoretical models and practical municipal applications, a hallmark of successful regional academic work.</w:t>
      </w:r>
    </w:p>
    <w:p>
      <w:pPr>
        <w:pStyle w:val="BodyText"/>
      </w:pPr>
      <w:r>
        <w:t xml:space="preserve">Based on the data collected, this</w:t>
      </w:r>
      <w:r>
        <w:t xml:space="preserve"> </w:t>
      </w:r>
      <w:r>
        <w:t xml:space="preserve">lab report</w:t>
      </w:r>
      <w:r>
        <w:rPr>
          <w:bCs/>
          <w:b/>
        </w:rPr>
        <w:t xml:space="preserve">A</w:t>
      </w:r>
      <w:r>
        <w:rPr>
          <w:bCs/>
          <w:b/>
        </w:rPr>
        <w:t xml:space="preserve">Academic Researcher</w:t>
      </w:r>
      <w:r>
        <w:t xml:space="preserve"> </w:t>
      </w:r>
      <w:r>
        <w:t xml:space="preserve">operating in</w:t>
      </w:r>
      <w:r>
        <w:t xml:space="preserve"> </w:t>
      </w:r>
      <w:r>
        <w:rPr>
          <w:bCs/>
          <w:b/>
        </w:rPr>
        <w:t xml:space="preserve">Turkey Istanbul</w:t>
      </w:r>
      <w:r>
        <w:t xml:space="preserve">:</w:t>
      </w:r>
    </w:p>
    <w:p>
      <w:pPr>
        <w:numPr>
          <w:ilvl w:val="0"/>
          <w:numId w:val="1002"/>
        </w:numPr>
        <w:pStyle w:val="Compact"/>
      </w:pPr>
      <w:r>
        <w:t xml:space="preserve">Embrace Interdisciplinarity:To maximize impact and funding potential, researchers should actively seek collaborations across departments.</w:t>
      </w:r>
    </w:p>
    <w:p>
      <w:pPr>
        <w:pStyle w:val="FirstParagraph"/>
      </w:pPr>
      <w:r>
        <w:rPr>
          <w:bCs/>
          <w:b/>
        </w:rPr>
        <w:t xml:space="preserve">Leverage Geographic Positioning:</w:t>
      </w:r>
      <w:r>
        <w:t xml:space="preserve">Istanbul is a bridge between continents. Utilize this unique status to foster international partnerships that might be geographically difficult for researchers based strictly in Europe or the Middle East.</w:t>
      </w:r>
    </w:p>
    <w:p>
      <w:pPr>
        <w:pStyle w:val="BodyText"/>
      </w:pPr>
      <w:r>
        <w:rPr>
          <w:bCs/>
          <w:b/>
        </w:rPr>
        <w:t xml:space="preserve">Prioritize Local Impact:</w:t>
      </w:r>
      <w:r>
        <w:t xml:space="preserve">Fund domestic agencies like TUBITAK value solutions to local challenges, such as earthquake resilience, traffic management, and water resource management.</w:t>
      </w:r>
    </w:p>
    <w:p>
      <w:pPr>
        <w:pStyle w:val="BodyText"/>
      </w:pPr>
      <w:r>
        <w:rPr>
          <w:bCs/>
          <w:b/>
        </w:rPr>
        <w:t xml:space="preserve">Stay Culturally Aware:</w:t>
      </w:r>
      <w:r>
        <w:t xml:space="preserve">A deeper understanding of Turkish academic culture—including the importance of networking (*çay bahçesi* discussions) and hierarchical respect—can significantly enhance an academic researcher's integration into the university ecosystem.</w:t>
      </w:r>
    </w:p>
    <w:p>
      <w:pPr>
        <w:pStyle w:val="BodyText"/>
      </w:pPr>
      <w:r>
        <w:t xml:space="preserve">In conclusion, this lab report highlights that being an</w:t>
      </w:r>
      <w:r>
        <w:t xml:space="preserve"> </w:t>
      </w:r>
      <w:r>
        <w:rPr>
          <w:bCs/>
          <w:b/>
        </w:rPr>
        <w:t xml:space="preserve">A</w:t>
      </w:r>
      <w:r>
        <w:rPr>
          <w:bCs/>
          <w:b/>
        </w:rPr>
        <w:t xml:space="preserve">Academic Researcher</w:t>
      </w:r>
      <w:r>
        <w:t xml:space="preserve"> </w:t>
      </w:r>
      <w:r>
        <w:t xml:space="preserve">in</w:t>
      </w:r>
      <w:r>
        <w:t xml:space="preserve"> </w:t>
      </w:r>
      <w:r>
        <w:rPr>
          <w:bCs/>
          <w:b/>
        </w:rPr>
        <w:t xml:space="preserve">Turkey Istanbul</w:t>
      </w:r>
    </w:p>
    <w:p>
      <w:pPr>
        <w:pStyle w:val="BodyText"/>
      </w:pPr>
      <w:r>
        <w:t xml:space="preserve">A</w:t>
      </w:r>
      <w:r>
        <w:t xml:space="preserve">Academic Researcher</w:t>
      </w:r>
      <w:r>
        <w:t xml:space="preserve">. The city's rich history, combined with its modern aspirations and strategic location, offers a unique platform for innovative research. By understanding the specific cultural and administrative contexts of</w:t>
      </w:r>
      <w:r>
        <w:t xml:space="preserve"> </w:t>
      </w:r>
      <w:r>
        <w:rPr>
          <w:bCs/>
          <w:b/>
        </w:rPr>
        <w:t xml:space="preserve">Turkey Istanbul</w:t>
      </w:r>
      <w:r>
        <w:t xml:space="preserve">, researchers can not only achieve personal career success but also contribute meaningfully to global knowledge production while addressing local societal needs. Future studies should expand upon this framework by examining longitudinal outcomes of researchers who adhere to these recommendations.</w:t>
      </w:r>
    </w:p>
    <w:p>
      <w:pPr>
        <w:pStyle w:val="BodyText"/>
      </w:pPr>
      <w:r>
        <w:rPr>
          <w:iCs/>
          <w:i/>
        </w:rPr>
        <w:t xml:space="preserve">End of Lab Report.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Evaluation in Turkey Istanbul</dc:title>
  <dc:creator/>
  <dc:language>en</dc:language>
  <cp:keywords/>
  <dcterms:created xsi:type="dcterms:W3CDTF">2026-07-29T04:14:41Z</dcterms:created>
  <dcterms:modified xsi:type="dcterms:W3CDTF">2026-07-29T04:14:41Z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