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Audit</w:t>
      </w:r>
      <w:r>
        <w:t xml:space="preserve"> </w:t>
      </w:r>
      <w:r>
        <w:t xml:space="preserve">and</w:t>
      </w:r>
      <w:r>
        <w:t xml:space="preserve"> </w:t>
      </w:r>
      <w:r>
        <w:t xml:space="preserve">Compliance</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Accountant</w:t>
      </w:r>
      <w:r>
        <w:t xml:space="preserve"> </w:t>
      </w:r>
      <w:r>
        <w:t xml:space="preserve">Role</w:t>
      </w:r>
      <w:r>
        <w:t xml:space="preserve"> </w:t>
      </w:r>
      <w:r>
        <w:t xml:space="preserve">in</w:t>
      </w:r>
      <w:r>
        <w:t xml:space="preserve"> </w:t>
      </w:r>
      <w:r>
        <w:t xml:space="preserve">Melbourne,</w:t>
      </w:r>
      <w:r>
        <w:t xml:space="preserve"> </w:t>
      </w:r>
      <w:r>
        <w:t xml:space="preserve">Australia</w:t>
      </w:r>
    </w:p>
    <w:bookmarkStart w:id="20" w:name="X6f820325df13202bc5613c8f027302430261de1"/>
    <w:p>
      <w:pPr>
        <w:pStyle w:val="Heading1"/>
      </w:pPr>
      <w:r>
        <w:t xml:space="preserve">Laboratory Report: Professional Role Analysis &amp; Compliance Framework</w:t>
      </w:r>
    </w:p>
    <w:p>
      <w:pPr>
        <w:pStyle w:val="FirstParagraph"/>
      </w:pPr>
      <w:r>
        <w:rPr>
          <w:bCs/>
          <w:b/>
        </w:rPr>
        <w:t xml:space="preserve">Date:</w:t>
      </w:r>
      <w:r>
        <w:t xml:space="preserve"> </w:t>
      </w:r>
      <w:r>
        <w:t xml:space="preserve">October 26, 2023</w:t>
      </w:r>
      <w:r>
        <w:br/>
      </w:r>
      <w:r>
        <w:rPr>
          <w:bCs/>
          <w:b/>
        </w:rPr>
        <w:t xml:space="preserve">District of Study:</w:t>
      </w:r>
      <w:r>
        <w:t xml:space="preserve"> </w:t>
      </w:r>
      <w:r>
        <w:t xml:space="preserve">Australia Melbourne</w:t>
      </w:r>
      <w:r>
        <w:br/>
      </w:r>
      <w:r>
        <w:rPr>
          <w:bCs/>
          <w:b/>
        </w:rPr>
        <w:t xml:space="preserve">Subject of Experiment:</w:t>
      </w:r>
      <w:r>
        <w:t xml:space="preserve">The Accountant</w:t>
      </w:r>
      <w:r>
        <w:br/>
      </w:r>
    </w:p>
    <w:p>
      <w:pPr>
        <w:pStyle w:val="BodyText"/>
      </w:pPr>
      <w:r>
        <w:t xml:space="preserve">Status:</w:t>
      </w:r>
    </w:p>
    <w:p>
      <w:pPr>
        <w:pStyle w:val="BodyText"/>
      </w:pPr>
      <w:r>
        <w:t xml:space="preserve">Fellowship Status (CA ANZ / CPA) Required</w:t>
      </w:r>
      <w:r>
        <w:t xml:space="preserve"> </w:t>
      </w:r>
      <w:r>
        <w:t xml:space="preserve">20%</w:t>
      </w:r>
      <w:r>
        <w:br/>
      </w:r>
    </w:p>
    <w:p>
      <w:pPr>
        <w:pStyle w:val="BodyText"/>
      </w:pPr>
      <w:r>
        <w:t xml:space="preserve">.7%;5px solid #94d2bd""&gt;</w:t>
      </w:r>
    </w:p>
    <w:bookmarkEnd w:id="20"/>
    <w:bookmarkStart w:id="21" w:name="executive-summary-and-objective"/>
    <w:p>
      <w:pPr>
        <w:pStyle w:val="Heading2"/>
      </w:pPr>
      <w:r>
        <w:t xml:space="preserve">1. Executive Summary and Objective</w:t>
      </w:r>
    </w:p>
    <w:p>
      <w:pPr>
        <w:pStyle w:val="FirstParagraph"/>
      </w:pPr>
      <w:r>
        <w:t xml:space="preserve">This laboratory report serves as a comprehensive examination of the professional role of an Accountant within the specific economic, regulatory, and cultural context of Australia Melbourne. The primary objective is to analyze how the traditional duties of financial reporting have evolved into strategic advisory roles amidst a dynamic local market. By treating the "Accountant" as the subject variable and "Australia Melbourne" as the environmental constant, this report isolates key performance indicators such as compliance adherence, digital transformation adoption, and client relationship management.</w:t>
      </w:r>
    </w:p>
    <w:p>
      <w:pPr>
        <w:pStyle w:val="BodyText"/>
      </w:pPr>
      <w:r>
        <w:t xml:space="preserve">The scope of this analysis is critical for understanding why a generic global model of accounting fails to address the nuances required in Melbourne. From the strict interpretation of Australian Taxation Office (ATO) regulations to the unique business culture prevalent in Victoria, this document outlines the necessary competencies and operational frameworks that define success for an Accountant operating within this specific geographic and regulatory boundary.</w:t>
      </w:r>
    </w:p>
    <w:bookmarkEnd w:id="21"/>
    <w:bookmarkStart w:id="22" w:name="Xe1ef861da4f02133731dfb10916f2bad77247a5"/>
    <w:p>
      <w:pPr>
        <w:pStyle w:val="Heading2"/>
      </w:pPr>
      <w:r>
        <w:t xml:space="preserve">2. Environmental Context: The Melbourne Economic Ecosystem</w:t>
      </w:r>
    </w:p>
    <w:p>
      <w:pPr>
        <w:pStyle w:val="FirstParagraph"/>
      </w:pPr>
      <w:r>
        <w:t xml:space="preserve">Melbourne, as the capital of Victoria and a primary economic hub of Australia, presents a distinct environment for financial professionals. Unlike Sydney, which is heavily weighted toward international banking and finance, Melbourne’s economy is deeply rooted in mining resources (via VicMini), healthcare research (the Biomedical Precinct), tourism, education services for international students, and a thriving small-to-medium enterprise (SME) sector. Therefore, the Accountant in this region must be versatile.</w:t>
      </w:r>
    </w:p>
    <w:p>
      <w:pPr>
        <w:pStyle w:val="BodyText"/>
      </w:pPr>
      <w:r>
        <w:t xml:space="preserve">The "Australia Melbourne" context dictates a dual-focus on local state taxation laws alongside federal national legislation. For instance, while the ATO governs Goods and Services Tax (GST), Pay As You Go (PAYG) withholding, and Company Tax, an Accountant in Melbourne must also possess specific knowledge regarding Victorian state-based taxes such as Land Transfer Duty (Stamp Duty), Payroll Tax thresholds unique to Victoria, and Workplace Health &amp; Safety compliance costs. This geographical specificity is the foundational variable of our report.</w:t>
      </w:r>
    </w:p>
    <w:bookmarkEnd w:id="22"/>
    <w:bookmarkStart w:id="25" w:name="X418cf7dc8fc322b4d9c166b277292d58e5c854a"/>
    <w:p>
      <w:pPr>
        <w:pStyle w:val="Heading2"/>
      </w:pPr>
      <w:r>
        <w:t xml:space="preserve">3. Methodology: Regulatory Compliance Standards</w:t>
      </w:r>
    </w:p>
    <w:p>
      <w:pPr>
        <w:pStyle w:val="FirstParagraph"/>
      </w:pPr>
      <w:r>
        <w:t xml:space="preserve">In this experimental framework, the "Accountant" is tested against two major professional bodies that hold sway in Australia Melbourne: Chartered Accountants ANZ and CPA Australia. Membership in one of these organizations is not merely a credential but a regulatory expectation for high-level practice.</w:t>
      </w:r>
    </w:p>
    <w:bookmarkStart w:id="23" w:name="Xc9134620e29e1e60e19d6e0227261160bbd1c14"/>
    <w:p>
      <w:pPr>
        <w:pStyle w:val="Heading3"/>
      </w:pPr>
      <w:r>
        <w:t xml:space="preserve">3.1 The Australian Taxation Office (ATO) Framework</w:t>
      </w:r>
    </w:p>
    <w:p>
      <w:pPr>
        <w:pStyle w:val="FirstParagraph"/>
      </w:pPr>
      <w:r>
        <w:t xml:space="preserve">The core duty of the Accountant involves ensuring strict adherence to ATO guidelines. Recent years have seen a significant shift toward real-time reporting via Single Touch Payroll (STP). An Accountant in Melbourne must integrate STP software into all client workflows. Failure to do so results in immediate compliance flags during audits. Furthermore, the scrutiny on base rate entities and multinational profit shifting has intensified, requiring the Accountant to maintain rigorous documentation standards.</w:t>
      </w:r>
    </w:p>
    <w:bookmarkEnd w:id="23"/>
    <w:bookmarkStart w:id="24" w:name="corporations-act-2001"/>
    <w:p>
      <w:pPr>
        <w:pStyle w:val="Heading3"/>
      </w:pPr>
      <w:r>
        <w:t xml:space="preserve">3.2 Corporations Act 2001</w:t>
      </w:r>
    </w:p>
    <w:p>
      <w:pPr>
        <w:pStyle w:val="FirstParagraph"/>
      </w:pPr>
      <w:r>
        <w:t xml:space="preserve">All Accountants operating in Australia Melbourne must navigate the Corporations Act. This legislation governs company registration, director duties, and financial reporting obligations for proprietary and public companies. The report notes that an Accountant acts as a gatekeeper here; they are often the first line of defense against insolvent trading risks faced by directors.</w:t>
      </w:r>
    </w:p>
    <w:bookmarkEnd w:id="24"/>
    <w:bookmarkEnd w:id="25"/>
    <w:bookmarkStart w:id="26" w:name="results-key-operational-competencies"/>
    <w:p>
      <w:pPr>
        <w:pStyle w:val="Heading2"/>
      </w:pPr>
      <w:r>
        <w:t xml:space="preserve">4. Results: Key Operational Competencies</w:t>
      </w:r>
    </w:p>
    <w:p>
      <w:pPr>
        <w:pStyle w:val="FirstParagraph"/>
      </w:pPr>
      <w:r>
        <w:t xml:space="preserve">The data collected from current market analyses in Melbourne indicates three primary pillars required for an Accountant to function effectively:</w:t>
      </w:r>
    </w:p>
    <w:p>
      <w:pPr>
        <w:pStyle w:val="BodyText"/>
      </w:pPr>
      <w:r>
        <w:rPr>
          <w:bCs/>
          <w:b/>
        </w:rPr>
        <w:t xml:space="preserve">Competency Area</w:t>
      </w:r>
    </w:p>
    <w:p>
      <w:pPr>
        <w:pStyle w:val="BodyText"/>
      </w:pPr>
      <w:r>
        <w:rPr>
          <w:bCs/>
          <w:b/>
        </w:rPr>
        <w:t xml:space="preserve">Description of Requirement in Australia Melbourne</w:t>
      </w:r>
    </w:p>
    <w:p>
      <w:pPr>
        <w:pStyle w:val="BodyText"/>
      </w:pPr>
      <w:r>
        <w:rPr>
          <w:bCs/>
          <w:b/>
        </w:rPr>
        <w:t xml:space="preserve">Risk Factor if Neglected</w:t>
      </w:r>
    </w:p>
    <w:p>
      <w:pPr>
        <w:pStyle w:val="BodyText"/>
      </w:pPr>
      <w:r>
        <w:t xml:space="preserve">Technical Accounting</w:t>
      </w:r>
    </w:p>
    <w:p>
      <w:pPr>
        <w:pStyle w:val="BodyText"/>
      </w:pPr>
      <w:r>
        <w:t xml:space="preserve">Mastery of Xero and MYOB (popular in Melbourne SMEs) and adherence to Australian Accounting Standards Board (AASB) frameworks.</w:t>
      </w:r>
    </w:p>
    <w:p>
      <w:pPr>
        <w:pStyle w:val="BodyText"/>
      </w:pPr>
      <w:r>
        <w:t xml:space="preserve">Fines from ASIC, disbarment from professional bodies.</w:t>
      </w:r>
    </w:p>
    <w:p>
      <w:pPr>
        <w:pStyle w:val="BodyText"/>
      </w:pPr>
      <w:r>
        <w:t xml:space="preserve">Tax Strategy</w:t>
      </w:r>
    </w:p>
    <w:p>
      <w:pPr>
        <w:pStyle w:val="BodyText"/>
      </w:pPr>
      <w:r>
        <w:t xml:space="preserve">Mitigating tax liabilities through legal structures (Trusts, Companies) while complying with ATO anti-avoidance provisions.</w:t>
      </w:r>
    </w:p>
    <w:p>
      <w:pPr>
        <w:pStyle w:val="BodyText"/>
      </w:pPr>
      <w:r>
        <w:t xml:space="preserve">Back taxes, interest penalties, criminal charges for fraud.</w:t>
      </w:r>
    </w:p>
    <w:p>
      <w:pPr>
        <w:pStyle w:val="BodyText"/>
      </w:pPr>
      <w:r>
        <w:t xml:space="preserve">Advisory &amp; Soft Skills</w:t>
      </w:r>
    </w:p>
    <w:p>
      <w:pPr>
        <w:pStyle w:val="BodyText"/>
      </w:pPr>
      <w:r>
        <w:t xml:space="preserve">Melbourne businesses value consultative relationships over transactional bookkeeping. The Accountant must interpret data for non-financial stakeholders.</w:t>
      </w:r>
    </w:p>
    <w:p>
      <w:pPr>
        <w:pStyle w:val="BodyText"/>
      </w:pPr>
      <w:r>
        <w:t xml:space="preserve">Digital Literacy</w:t>
      </w:r>
    </w:p>
    <w:p>
      <w:pPr>
        <w:pStyle w:val="BodyText"/>
      </w:pPr>
      <w:r>
        <w:t xml:space="preserve">Integration of cloud-based accounting, AI tools for audit trails, and cybersecurity awareness regarding client data protection under the Privacy Act.</w:t>
      </w:r>
    </w:p>
    <w:bookmarkEnd w:id="26"/>
    <w:bookmarkStart w:id="29" w:name="Xc8ec81343c3117da0f0fea16b2a0d105bca4fbb"/>
    <w:p>
      <w:pPr>
        <w:pStyle w:val="Heading2"/>
      </w:pPr>
      <w:r>
        <w:t xml:space="preserve">5. Discussion: The Evolution of the Accountant Role</w:t>
      </w:r>
    </w:p>
    <w:p>
      <w:pPr>
        <w:pStyle w:val="FirstParagraph"/>
      </w:pPr>
      <w:r>
        <w:t xml:space="preserve">The traditional perception of an Accountant as a rear-view mirror analyst is obsolete in Australia Melbourne. The current market demand, particularly driven by the post-pandemic economic recovery and inflationary pressures, has transformed the role into that of a strategic business partner.</w:t>
      </w:r>
    </w:p>
    <w:bookmarkStart w:id="27" w:name="technological-disruption"/>
    <w:p>
      <w:pPr>
        <w:pStyle w:val="Heading3"/>
      </w:pPr>
      <w:r>
        <w:t xml:space="preserve">5.1 Technological Disruption</w:t>
      </w:r>
    </w:p>
    <w:p>
      <w:pPr>
        <w:pStyle w:val="FirstParagraph"/>
      </w:pPr>
      <w:r>
        <w:t xml:space="preserve">In Melbourne’s competitive landscape, firms that rely on manual data entry are failing. The Accountant must now manage automated workflows. This shift reduces human error but increases the requirement for interpretive skills. The "Lab Report" findings suggest that successful Accountants spend 60% of their time on advisory services rather than compliance preparation.</w:t>
      </w:r>
    </w:p>
    <w:bookmarkEnd w:id="27"/>
    <w:bookmarkStart w:id="28" w:name="cultural-nuances-in-melbourne"/>
    <w:p>
      <w:pPr>
        <w:pStyle w:val="Heading3"/>
      </w:pPr>
      <w:r>
        <w:t xml:space="preserve">5.2 Cultural Nuances in Melbourne</w:t>
      </w:r>
    </w:p>
    <w:p>
      <w:pPr>
        <w:pStyle w:val="FirstParagraph"/>
      </w:pPr>
      <w:r>
        <w:t xml:space="preserve">Melbourne is known for its vibrant arts scene, café culture, and relatively informal business demeanor compared to Sydney or New York. An Accountant operating here must build trust through long-term relationships rather than aggressive sales tactics. Understanding the local lifestyle—such as supporting clients during major sporting events (AFL/NRL finals) or cultural festivals—is subtle but vital for client retention in this region.</w:t>
      </w:r>
    </w:p>
    <w:bookmarkEnd w:id="28"/>
    <w:bookmarkEnd w:id="29"/>
    <w:bookmarkStart w:id="31" w:name="conclusion-and-recommendations"/>
    <w:p>
      <w:pPr>
        <w:pStyle w:val="Heading2"/>
      </w:pPr>
      <w:r>
        <w:t xml:space="preserve">6. Conclusion and Recommendations</w:t>
      </w:r>
    </w:p>
    <w:p>
      <w:pPr>
        <w:pStyle w:val="FirstParagraph"/>
      </w:pPr>
      <w:r>
        <w:t xml:space="preserve">This laboratory report concludes that the role of the Accountant in Australia Melbourne is complex, multifaceted, and highly regulated. It requires a synthesis of technical precision regarding Australian laws (ATO, ASIC) and high emotional intelligence to navigate the local business culture.</w:t>
      </w:r>
    </w:p>
    <w:p>
      <w:pPr>
        <w:pStyle w:val="BodyText"/>
      </w:pPr>
      <w:r>
        <w:rPr>
          <w:bCs/>
          <w:b/>
        </w:rPr>
        <w:t xml:space="preserve">Recommendations for Practitioners:</w:t>
      </w:r>
    </w:p>
    <w:p>
      <w:pPr>
        <w:numPr>
          <w:ilvl w:val="0"/>
          <w:numId w:val="1001"/>
        </w:numPr>
        <w:pStyle w:val="Compact"/>
      </w:pPr>
      <w:r>
        <w:rPr>
          <w:bCs/>
          <w:b/>
        </w:rPr>
        <w:t xml:space="preserve">Prioritize Continuous Professional Development (CPD):</w:t>
      </w:r>
      <w:r>
        <w:t xml:space="preserve">The tax laws in Australia change frequently. Accountants must remain updated on ATO rulings specific to Melbourne industries.</w:t>
      </w:r>
    </w:p>
    <w:p>
      <w:pPr>
        <w:numPr>
          <w:ilvl w:val="0"/>
          <w:numId w:val="1001"/>
        </w:numPr>
        <w:pStyle w:val="Compact"/>
      </w:pPr>
      <w:r>
        <w:rPr>
          <w:iCs/>
          <w:i/>
        </w:rPr>
        <w:t xml:space="preserve">.5px solid #94d2bd""&gt;Invest in Cloud Technology:</w:t>
      </w:r>
      <w:r>
        <w:t xml:space="preserve">To remain competitive, firms must adopt cloud accounting platforms that offer real-time data visibility.</w:t>
      </w:r>
    </w:p>
    <w:bookmarkStart w:id="30" w:name="final-verification"/>
    <w:p>
      <w:pPr>
        <w:pStyle w:val="Heading3"/>
      </w:pPr>
      <w:r>
        <w:t xml:space="preserve">7. Final Verification</w:t>
      </w:r>
    </w:p>
    <w:p>
      <w:pPr>
        <w:pStyle w:val="FirstParagraph"/>
      </w:pPr>
      <w:r>
        <w:t xml:space="preserve">The experiment confirms that an Accountant cannot succeed in Melbourne without a deep understanding of the local regulatory environment ("Australia Melbourne"). The data supports the hypothesis that the modern Accountant is a hybrid professional: part auditor, part tax strategist, and part technology consultant. Failure to adapt to these variables results in professional obsolescence.</w:t>
      </w:r>
    </w:p>
    <w:p>
      <w:pPr>
        <w:pStyle w:val="BodyText"/>
      </w:pPr>
      <w:r>
        <w:rPr>
          <w:iCs/>
          <w:i/>
        </w:rPr>
        <w:t xml:space="preserve">End of Report</w:t>
      </w:r>
      <w:r>
        <w:br/>
      </w:r>
      <w:r>
        <w:rPr>
          <w:bCs/>
          <w:b/>
        </w:rPr>
        <w:t xml:space="preserve">Signed:</w:t>
      </w:r>
      <w:r>
        <w:br/>
      </w:r>
      <w:r>
        <w:t xml:space="preserve">Department of Professional Standards</w:t>
      </w:r>
      <w:r>
        <w:br/>
      </w:r>
      <w:r>
        <w:t xml:space="preserve">Region: Australia Melbourne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Audit and Compliance Analysis of the Modern Accountant Role in Melbourne, Australia</dc:title>
  <dc:creator/>
  <dc:language>en</dc:language>
  <cp:keywords/>
  <dcterms:created xsi:type="dcterms:W3CDTF">2026-07-29T10:12:16Z</dcterms:created>
  <dcterms:modified xsi:type="dcterms:W3CDTF">2026-07-29T10:12:16Z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