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32" w:name="X742da7e6ec39287bf5df0414f0505f7f328e732"/>
    <w:p>
      <w:pPr>
        <w:pStyle w:val="Heading1"/>
      </w:pPr>
      <w:r>
        <w:t xml:space="preserve">Laboratory Report: Analysis of the Accountant Professional Profile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Regulatory Bodies and Financial Stakeholders</w:t>
      </w:r>
      <w:r>
        <w:br/>
      </w:r>
      <w:r>
        <w:rPr>
          <w:bCs/>
          <w:b/>
        </w:rPr>
        <w:t xml:space="preserve">From:</w:t>
      </w:r>
      <w:r>
        <w:br/>
      </w:r>
    </w:p>
    <w:p>
      <w:pPr>
        <w:pStyle w:val="BodyText"/>
      </w:pPr>
      <w:r>
        <w:rPr>
          <w:iCs/>
          <w:i/>
          <w:iCs/>
          <w:i/>
        </w:rPr>
        <w:t xml:space="preserve">The primary objective of this</w:t>
      </w:r>
      <w:r>
        <w:rPr>
          <w:iCs/>
          <w:i/>
          <w:iCs/>
          <w:i/>
        </w:rPr>
        <w:t xml:space="preserve"> </w:t>
      </w:r>
      <w:r>
        <w:rPr>
          <w:rStyle w:val="VerbatimChar"/>
          <w:iCs/>
          <w:i/>
          <w:iCs/>
          <w:i/>
        </w:rPr>
        <w:t xml:space="preserve">Lab Report</w:t>
      </w:r>
      <w:r>
        <w:rPr>
          <w:iCs/>
          <w:i/>
        </w:rPr>
        <w:t xml:space="preserve"> </w:t>
      </w:r>
      <w:r>
        <w:rPr>
          <w:iCs/>
          <w:i/>
        </w:rPr>
        <w:t xml:space="preserve">is to dissect the multifaceted role of the</w:t>
      </w:r>
      <w:r>
        <w:rPr>
          <w:iCs/>
          <w:i/>
        </w:rPr>
        <w:t xml:space="preserve"> </w:t>
      </w:r>
      <w:r>
        <w:rPr>
          <w:bCs/>
          <w:b/>
          <w:iCs/>
          <w:i/>
        </w:rPr>
        <w:t xml:space="preserve">Accountant</w:t>
      </w:r>
      <w:r>
        <w:rPr>
          <w:iCs/>
          <w:i/>
        </w:rPr>
        <w:t xml:space="preserve"> </w:t>
      </w:r>
      <w:r>
        <w:rPr>
          <w:iCs/>
          <w:i/>
        </w:rPr>
        <w:t xml:space="preserve">within the specific economic and regulatory environment of</w:t>
      </w:r>
      <w:r>
        <w:rPr>
          <w:iCs/>
          <w:i/>
        </w:rPr>
        <w:t xml:space="preserve"> </w:t>
      </w:r>
      <w:r>
        <w:rPr>
          <w:bCs/>
          <w:b/>
          <w:iCs/>
          <w:i/>
        </w:rPr>
        <w:t xml:space="preserve">Canada Vancouver</w:t>
      </w:r>
      <w:r>
        <w:rPr>
          <w:iCs/>
          <w:i/>
        </w:rPr>
        <w:t xml:space="preserve">. By treating this professional analysis as a laboratory experiment, we isolate variables such as local tax codes, market volatility, technological integration, and cultural expectations. This document serves as a comprehensive record of observations regarding how an accountant navigates the unique pressures of the Canadian financial landscape while maintaining compliance with national standards in one of British Columbia's most dynamic metropolitan hubs.</w:t>
      </w:r>
    </w:p>
    <w:bookmarkStart w:id="20" w:name="introduction-and-scope"/>
    <w:p>
      <w:pPr>
        <w:pStyle w:val="Heading2"/>
      </w:pPr>
      <w:r>
        <w:t xml:space="preserve">1. Introduction and Scope</w:t>
      </w:r>
    </w:p>
    <w:p>
      <w:pPr>
        <w:pStyle w:val="FirstParagraph"/>
      </w:pPr>
      <w:r>
        <w:t xml:space="preserve">The city of</w:t>
      </w:r>
      <w:r>
        <w:t xml:space="preserve"> </w:t>
      </w:r>
      <w:r>
        <w:rPr>
          <w:bCs/>
          <w:b/>
        </w:rPr>
        <w:t xml:space="preserve">Vancouver, Canada</w:t>
      </w:r>
      <w:r>
        <w:t xml:space="preserve">, stands as a critical economic gateway to the Asia-Pacific region. Its real estate market, international trade flows, and tech sector create a complex financial ecosystem. Within this ecosystem, the</w:t>
      </w:r>
      <w:r>
        <w:t xml:space="preserve"> </w:t>
      </w:r>
      <w:r>
        <w:rPr>
          <w:bCs/>
          <w:b/>
        </w:rPr>
        <w:t xml:space="preserve">Accountant</w:t>
      </w:r>
      <w:r>
        <w:t xml:space="preserve"> </w:t>
      </w:r>
      <w:r>
        <w:t xml:space="preserve">is not merely a bookkeeper but a strategic analyst whose work can be viewed through the lens of scientific inquiry. This</w:t>
      </w:r>
      <w:r>
        <w:t xml:space="preserve"> </w:t>
      </w:r>
      <w:r>
        <w:rPr>
          <w:rStyle w:val="VerbatimChar"/>
        </w:rPr>
        <w:t xml:space="preserve">Lab Report</w:t>
      </w:r>
    </w:p>
    <w:bookmarkEnd w:id="20"/>
    <w:bookmarkStart w:id="23" w:name="X293827b228fe5779dc8ccf6983e5cd95aebcae6"/>
    <w:p>
      <w:pPr>
        <w:pStyle w:val="Heading2"/>
      </w:pPr>
      <w:r>
        <w:t xml:space="preserve">2. Experimental Variables: The Regulatory Environment</w:t>
      </w:r>
    </w:p>
    <w:p>
      <w:pPr>
        <w:pStyle w:val="FirstParagraph"/>
      </w:pPr>
      <w:r>
        <w:t xml:space="preserve">In any laboratory setting, controlling variables is crucial. For an</w:t>
      </w:r>
      <w:r>
        <w:t xml:space="preserve"> </w:t>
      </w:r>
      <w:r>
        <w:rPr>
          <w:bCs/>
          <w:b/>
        </w:rPr>
        <w:t xml:space="preserve">Accountant</w:t>
      </w:r>
      <w:r>
        <w:rPr>
          <w:iCs/>
          <w:i/>
        </w:rPr>
        <w:t xml:space="preserve">Regulatory Compliance Index (RCI)</w:t>
      </w:r>
    </w:p>
    <w:bookmarkStart w:id="21" w:name="canadian-accounting-standards"/>
    <w:p>
      <w:pPr>
        <w:pStyle w:val="Heading3"/>
      </w:pPr>
      <w:r>
        <w:t xml:space="preserve">2.1 Canadian Accounting Standards</w:t>
      </w:r>
    </w:p>
    <w:p>
      <w:pPr>
        <w:pStyle w:val="FirstParagraph"/>
      </w:pPr>
      <w:r>
        <w:t xml:space="preserve">The primary variable in this</w:t>
      </w:r>
      <w:r>
        <w:t xml:space="preserve"> </w:t>
      </w:r>
      <w:r>
        <w:rPr>
          <w:rStyle w:val="VerbatimChar"/>
        </w:rPr>
        <w:t xml:space="preserve">Lab Report</w:t>
      </w:r>
    </w:p>
    <w:p>
      <w:pPr>
        <w:pStyle w:val="BodyText"/>
      </w:pPr>
      <w:r>
        <w:t xml:space="preserve">CAS (Canadian Accounting Standards)</w:t>
      </w:r>
    </w:p>
    <w:bookmarkEnd w:id="21"/>
    <w:bookmarkStart w:id="22" w:name="british-columbia-provincial-taxes"/>
    <w:p>
      <w:pPr>
        <w:pStyle w:val="Heading3"/>
      </w:pPr>
      <w:r>
        <w:t xml:space="preserve">2.2 British Columbia Provincial Taxes</w:t>
      </w:r>
    </w:p>
    <w:p>
      <w:pPr>
        <w:pStyle w:val="FirstParagraph"/>
      </w:pPr>
      <w:r>
        <w:t xml:space="preserve">Vancouver is subject to specific provincial tax laws that differ from other Canadian provinces. The</w:t>
      </w:r>
      <w:r>
        <w:t xml:space="preserve"> </w:t>
      </w:r>
      <w:r>
        <w:rPr>
          <w:bCs/>
          <w:b/>
        </w:rPr>
        <w:t xml:space="preserve">Accountant</w:t>
      </w:r>
      <w:r>
        <w:rPr>
          <w:iCs/>
          <w:i/>
        </w:rPr>
        <w:t xml:space="preserve">BC Sales Tax (PST)</w:t>
      </w:r>
    </w:p>
    <w:bookmarkEnd w:id="22"/>
    <w:bookmarkEnd w:id="23"/>
    <w:bookmarkStart w:id="26" w:name="Xc996a60cc4fd304339ce90dc8edc29fc5b39f34"/>
    <w:p>
      <w:pPr>
        <w:pStyle w:val="Heading2"/>
      </w:pPr>
      <w:r>
        <w:t xml:space="preserve">3. Observations: Market Dynamics in Canada Vancouver</w:t>
      </w:r>
    </w:p>
    <w:p>
      <w:pPr>
        <w:pStyle w:val="FirstParagraph"/>
      </w:pPr>
      <w:r>
        <w:t xml:space="preserve">The second phase of this</w:t>
      </w:r>
      <w:r>
        <w:t xml:space="preserve"> </w:t>
      </w:r>
      <w:r>
        <w:rPr>
          <w:rStyle w:val="VerbatimChar"/>
        </w:rPr>
        <w:t xml:space="preserve">Lab Report</w:t>
      </w:r>
    </w:p>
    <w:p>
      <w:pPr>
        <w:pStyle w:val="BodyText"/>
      </w:pPr>
      <w:r>
        <w:t xml:space="preserve">Housing Market Volatility Index (HMVI)</w:t>
      </w:r>
    </w:p>
    <w:bookmarkStart w:id="24" w:name="real-estate-transactions"/>
    <w:p>
      <w:pPr>
        <w:pStyle w:val="Heading3"/>
      </w:pPr>
      <w:r>
        <w:t xml:space="preserve">3.1 Real Estate Transactions</w:t>
      </w:r>
    </w:p>
    <w:p>
      <w:pPr>
        <w:pStyle w:val="FirstParagraph"/>
      </w:pPr>
      <w:r>
        <w:t xml:space="preserve">The housing market in</w:t>
      </w:r>
      <w:r>
        <w:t xml:space="preserve"> </w:t>
      </w:r>
      <w:r>
        <w:rPr>
          <w:bCs/>
          <w:b/>
        </w:rPr>
        <w:t xml:space="preserve">Vancouver, Canada</w:t>
      </w:r>
      <w:r>
        <w:t xml:space="preserve">, is characterized by high transaction values and stringent foreign buyer taxes. The</w:t>
      </w:r>
    </w:p>
    <w:p>
      <w:pPr>
        <w:pStyle w:val="BodyText"/>
      </w:pPr>
      <w:r>
        <w:t xml:space="preserve">Accountant</w:t>
      </w:r>
    </w:p>
    <w:p>
      <w:pPr>
        <w:pStyle w:val="BodyText"/>
      </w:pPr>
      <w:r>
        <w:t xml:space="preserve">Variable</w:t>
      </w:r>
    </w:p>
    <w:p>
      <w:pPr>
        <w:pStyle w:val="BodyText"/>
      </w:pPr>
      <w:r>
        <w:t xml:space="preserve">Description</w:t>
      </w:r>
    </w:p>
    <w:p>
      <w:pPr>
        <w:pStyle w:val="BodyText"/>
      </w:pPr>
      <w:r>
        <w:t xml:space="preserve">Impact on Accountant's Workflow in Vancouver, Canada</w:t>
      </w:r>
    </w:p>
    <w:bookmarkEnd w:id="24"/>
    <w:bookmarkStart w:id="25" w:name="X3a7c08d3a6984fda594f100efe5887070f53c05"/>
    <w:p>
      <w:pPr>
        <w:pStyle w:val="Heading3"/>
      </w:pPr>
      <w:r>
        <w:t xml:space="preserve">3.2 International Trade and Currency Fluctuation</w:t>
      </w:r>
    </w:p>
    <w:p>
      <w:pPr>
        <w:pStyle w:val="FirstParagraph"/>
      </w:pPr>
      <w:r>
        <w:t xml:space="preserve">Vancouver, Canada)</w:t>
      </w:r>
    </w:p>
    <w:p>
      <w:pPr>
        <w:pStyle w:val="BodyText"/>
      </w:pPr>
      <w:r>
        <w:t xml:space="preserve">CAD/USD Exchange Rate</w:t>
      </w:r>
    </w:p>
    <w:p>
      <w:pPr>
        <w:pStyle w:val="BodyText"/>
      </w:pPr>
      <w:r>
        <w:t xml:space="preserve">Daily fluctuation affecting import/export costs.</w:t>
      </w:r>
    </w:p>
    <w:p>
      <w:pPr>
        <w:pStyle w:val="BodyText"/>
      </w:pPr>
      <w:r>
        <w:t xml:space="preserve">High Risk Management Requirement. The Accountant must implement hedging strategies and accurate forecasting models to protect client assets from currency volatility typical in the Vancouver international trade sector.</w:t>
      </w:r>
    </w:p>
    <w:bookmarkEnd w:id="25"/>
    <w:bookmarkEnd w:id="26"/>
    <w:bookmarkStart w:id="28" w:name="Xc0b531b49926720c2f107742a892740d0f6243f"/>
    <w:p>
      <w:pPr>
        <w:pStyle w:val="Heading2"/>
      </w:pPr>
      <w:r>
        <w:t xml:space="preserve">4. Methodology: Technological Integration in Accounting Practices</w:t>
      </w:r>
    </w:p>
    <w:p>
      <w:pPr>
        <w:pStyle w:val="FirstParagraph"/>
      </w:pPr>
      <w:r>
        <w:t xml:space="preserve">This</w:t>
      </w:r>
      <w:r>
        <w:t xml:space="preserve"> </w:t>
      </w:r>
      <w:r>
        <w:rPr>
          <w:rStyle w:val="VerbatimChar"/>
        </w:rPr>
        <w:t xml:space="preserve">Lab Report</w:t>
      </w:r>
    </w:p>
    <w:p>
      <w:pPr>
        <w:pStyle w:val="BodyText"/>
      </w:pPr>
      <w:r>
        <w:t xml:space="preserve">Audit Trail Integrity Score (ATIS)</w:t>
      </w:r>
    </w:p>
    <w:bookmarkStart w:id="27" w:name="cloud-based-solutions"/>
    <w:p>
      <w:pPr>
        <w:pStyle w:val="Heading3"/>
      </w:pPr>
      <w:r>
        <w:t xml:space="preserve">4.1 Cloud-Based Solutions</w:t>
      </w:r>
    </w:p>
    <w:p>
      <w:pPr>
        <w:pStyle w:val="FirstParagraph"/>
      </w:pPr>
      <w:r>
        <w:t xml:space="preserve">In the modern</w:t>
      </w:r>
    </w:p>
    <w:p>
      <w:pPr>
        <w:pStyle w:val="BodyText"/>
      </w:pPr>
      <w:r>
        <w:t xml:space="preserve">Vancouver, Canada) business landscape, speed is essential. The</w:t>
      </w:r>
    </w:p>
    <w:p>
      <w:pPr>
        <w:pStyle w:val="BodyText"/>
      </w:pPr>
      <w:r>
        <w:t xml:space="preserve">Accountant</w:t>
      </w:r>
    </w:p>
    <w:p>
      <w:pPr>
        <w:pStyle w:val="BodyText"/>
      </w:pPr>
      <w:r>
        <w:t xml:space="preserve">Technology</w:t>
      </w:r>
    </w:p>
    <w:p>
      <w:pPr>
        <w:pStyle w:val="BodyText"/>
      </w:pPr>
      <w:r>
        <w:t xml:space="preserve">Application in Vancouver Context</w:t>
      </w:r>
    </w:p>
    <w:p>
      <w:pPr>
        <w:pStyle w:val="BodyText"/>
      </w:pPr>
      <w:r>
        <w:t xml:space="preserve">Data Analytics (Power BI/Tableau)</w:t>
      </w:r>
    </w:p>
    <w:p>
      <w:pPr>
        <w:pStyle w:val="BodyText"/>
      </w:pPr>
      <w:r>
        <w:t xml:space="preserve">Vancouver, Canada) trends to provide actionable insights. For example, identifying seasonal cash flow patterns in local tourism and hospitality sectors.</w:t>
      </w:r>
    </w:p>
    <w:bookmarkEnd w:id="27"/>
    <w:bookmarkEnd w:id="28"/>
    <w:bookmarkStart w:id="29" w:name="analysis-of-ethical-considerations"/>
    <w:p>
      <w:pPr>
        <w:pStyle w:val="Heading2"/>
      </w:pPr>
      <w:r>
        <w:t xml:space="preserve">5. Analysis of Ethical Considerations</w:t>
      </w:r>
    </w:p>
    <w:p>
      <w:pPr>
        <w:pStyle w:val="FirstParagraph"/>
      </w:pPr>
      <w:r>
        <w:t xml:space="preserve">Ethics form the control group in any financial experiment; without it, results are invalid. In</w:t>
      </w:r>
    </w:p>
    <w:p>
      <w:pPr>
        <w:pStyle w:val="BodyText"/>
      </w:pPr>
      <w:r>
        <w:t xml:space="preserve">Vancouver, Canada)</w:t>
      </w:r>
    </w:p>
    <w:p>
      <w:pPr>
        <w:pStyle w:val="BodyText"/>
      </w:pPr>
      <w:r>
        <w:rPr>
          <w:rStyle w:val="VerbatimChar"/>
        </w:rPr>
        <w:t xml:space="preserve">Lab Report</w:t>
      </w:r>
    </w:p>
    <w:bookmarkEnd w:id="29"/>
    <w:bookmarkStart w:id="30" w:name="conclusion-and-final-observations"/>
    <w:p>
      <w:pPr>
        <w:pStyle w:val="Heading2"/>
      </w:pPr>
      <w:r>
        <w:t xml:space="preserve">6. Conclusion and Final Observations</w:t>
      </w:r>
    </w:p>
    <w:p>
      <w:pPr>
        <w:pStyle w:val="FirstParagraph"/>
      </w:pPr>
      <w:r>
        <w:t xml:space="preserve">This</w:t>
      </w:r>
    </w:p>
    <w:p>
      <w:pPr>
        <w:pStyle w:val="BodyText"/>
      </w:pPr>
      <w:r>
        <w:t xml:space="preserve">Vancouver, Canada)</w:t>
      </w:r>
    </w:p>
    <w:p>
      <w:pPr>
        <w:pStyle w:val="BodyText"/>
      </w:pPr>
      <w:r>
        <w:t xml:space="preserve">Finding</w:t>
      </w:r>
    </w:p>
    <w:p>
      <w:pPr>
        <w:pStyle w:val="BodyText"/>
      </w:pPr>
      <w:r>
        <w:t xml:space="preserve">Significance for the Accountant</w:t>
      </w:r>
    </w:p>
    <w:p>
      <w:pPr>
        <w:numPr>
          <w:ilvl w:val="0"/>
          <w:numId w:val="1001"/>
        </w:numPr>
        <w:pStyle w:val="Compact"/>
      </w:pPr>
      <w:r>
        <w:rPr>
          <w:bCs/>
          <w:b/>
        </w:rPr>
        <w:t xml:space="preserve">[Vancouver, Canada]</w:t>
      </w:r>
      <w:r>
        <w:rPr>
          <w:iCs/>
          <w:i/>
        </w:rPr>
        <w:t xml:space="preserve">High complexity requiring specialized knowledge of both national and local regulations.</w:t>
      </w:r>
    </w:p>
    <w:p>
      <w:pPr>
        <w:numPr>
          <w:ilvl w:val="0"/>
          <w:numId w:val="1001"/>
        </w:numPr>
        <w:pStyle w:val="Compact"/>
      </w:pPr>
      <w:r>
        <w:rPr>
          <w:bCs/>
          <w:b/>
        </w:rPr>
        <w:t xml:space="preserve">[Accountant]</w:t>
      </w:r>
      <w:r>
        <w:rPr>
          <w:iCs/>
          <w:i/>
        </w:rPr>
        <w:t xml:space="preserve">Role has evolved from compliance-focused to strategic advisory, necessitating strong tech skills.</w:t>
      </w:r>
    </w:p>
    <w:p>
      <w:pPr>
        <w:numPr>
          <w:ilvl w:val="0"/>
          <w:numId w:val="1001"/>
        </w:numPr>
        <w:pStyle w:val="Compact"/>
      </w:pPr>
      <w:r>
        <w:rPr>
          <w:bCs/>
          <w:b/>
        </w:rPr>
        <w:t xml:space="preserve">[Lab Report Structure]</w:t>
      </w:r>
    </w:p>
    <w:p>
      <w:pPr>
        <w:pStyle w:val="FirstParagraph"/>
      </w:pPr>
      <w:r>
        <w:rPr>
          <w:bCs/>
          <w:b/>
        </w:rPr>
        <w:t xml:space="preserve">Final Verdict:</w:t>
      </w:r>
      <w:r>
        <w:br/>
      </w:r>
      <w:r>
        <w:t xml:space="preserve">The data collected in this</w:t>
      </w:r>
      <w:r>
        <w:t xml:space="preserve"> </w:t>
      </w:r>
      <w:r>
        <w:rPr>
          <w:rStyle w:val="VerbatimChar"/>
        </w:rPr>
        <w:t xml:space="preserve">Lab Report</w:t>
      </w:r>
    </w:p>
    <w:p>
      <w:pPr>
        <w:pStyle w:val="BodyText"/>
      </w:pPr>
      <w:r>
        <w:t xml:space="preserve">Vancouver, Canada)</w:t>
      </w:r>
    </w:p>
    <w:bookmarkEnd w:id="30"/>
    <w:bookmarkStart w:id="31" w:name="references-and-appendices"/>
    <w:p>
      <w:pPr>
        <w:pStyle w:val="Heading2"/>
      </w:pPr>
      <w:r>
        <w:t xml:space="preserve">7. References and Appendices</w:t>
      </w:r>
    </w:p>
    <w:p>
      <w:pPr>
        <w:pStyle w:val="FirstParagraph"/>
      </w:pPr>
      <w:r>
        <w:t xml:space="preserve">The following documents were consulted during the preparation of this</w:t>
      </w:r>
      <w:r>
        <w:t xml:space="preserve"> </w:t>
      </w:r>
      <w:r>
        <w:rPr>
          <w:rStyle w:val="VerbatimChar"/>
        </w:rPr>
        <w:t xml:space="preserve">Lab Report:</w:t>
      </w:r>
    </w:p>
    <w:p>
      <w:pPr>
        <w:numPr>
          <w:ilvl w:val="0"/>
          <w:numId w:val="1002"/>
        </w:numPr>
        <w:pStyle w:val="Compact"/>
      </w:pPr>
      <w:r>
        <w:t xml:space="preserve">Institute of Chartered Professional Accountants of British Columbia (CPA BC) Guidelines.</w:t>
      </w:r>
    </w:p>
    <w:p>
      <w:pPr>
        <w:numPr>
          <w:ilvl w:val="0"/>
          <w:numId w:val="1002"/>
        </w:numPr>
        <w:pStyle w:val="Compact"/>
      </w:pPr>
      <w:r>
        <w:t xml:space="preserve">Canada Revenue Agency (CRA) Publication T4011 - Income Tax Tips for Individuals.</w:t>
      </w:r>
    </w:p>
    <w:p>
      <w:pPr>
        <w:numPr>
          <w:ilvl w:val="0"/>
          <w:numId w:val="1002"/>
        </w:numPr>
        <w:pStyle w:val="Compact"/>
      </w:pPr>
      <w:r>
        <w:t xml:space="preserve">Vancouver Board of Trade Annual Economic Outlook Reports.</w:t>
      </w:r>
    </w:p>
    <w:p>
      <w:pPr>
        <w:numPr>
          <w:ilvl w:val="0"/>
          <w:numId w:val="1002"/>
        </w:numPr>
        <w:pStyle w:val="Compact"/>
      </w:pPr>
      <w:r>
        <w:t xml:space="preserve">Municipal Tax Bylaws for the City of Vancouver, BC.</w:t>
      </w:r>
    </w:p>
    <w:p>
      <w:pPr>
        <w:pStyle w:val="FirstParagraph"/>
      </w:pPr>
      <w:r>
        <w:t xml:space="preserve">This concludes the laboratory analysis of the Accountant's role in Canada Vancouver. Further research is recommended to track post-pandemic economic shifts in local markets.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Accountant in the Context of Canada Vancouver</dc:title>
  <dc:creator/>
  <dc:language>en</dc:language>
  <cp:keywords/>
  <dcterms:created xsi:type="dcterms:W3CDTF">2026-07-29T11:02:19Z</dcterms:created>
  <dcterms:modified xsi:type="dcterms:W3CDTF">2026-07-29T11:02:19Z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