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Analysis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1" w:name="laboratory-analysis-report"/>
    <w:p>
      <w:pPr>
        <w:pStyle w:val="Heading1"/>
      </w:pPr>
      <w:r>
        <w:t xml:space="preserve">Laboratory Analysis Report:</w:t>
      </w:r>
    </w:p>
    <w:p>
      <w:pPr>
        <w:pStyle w:val="FirstParagraph"/>
      </w:pPr>
      <w:r>
        <w:br/>
      </w:r>
    </w:p>
    <w:bookmarkStart w:id="30" w:name="X4eee5c6ae8949cf7ff2d179b6f3af4f32b1cb9f"/>
    <w:p>
      <w:pPr>
        <w:pStyle w:val="Heading2"/>
      </w:pPr>
      <w:r>
        <w:t xml:space="preserve">The Role, Regulation, and Operational Dynamics of the Accountant in Germany Berlin</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Profiling and Regulatory Compliance Analysis</w:t>
      </w:r>
      <w:r>
        <w:br/>
      </w:r>
      <w:r>
        <w:rPr>
          <w:bCs/>
          <w:b/>
        </w:rPr>
        <w:t xml:space="preserve">Location Focus:</w:t>
      </w:r>
      <w:r>
        <w:t xml:space="preserve"> </w:t>
      </w:r>
      <w:r>
        <w:t xml:space="preserve">Berlin Capital Region, Germany</w:t>
      </w:r>
    </w:p>
    <w:p>
      <w:pPr>
        <w:pStyle w:val="BodyText"/>
      </w:pPr>
      <w:r>
        <w:br/>
      </w:r>
    </w:p>
    <w:bookmarkStart w:id="20" w:name="executive-summary"/>
    <w:p>
      <w:pPr>
        <w:pStyle w:val="Heading3"/>
      </w:pPr>
      <w:r>
        <w:t xml:space="preserve">1. Executive Summary</w:t>
      </w:r>
    </w:p>
    <w:p>
      <w:pPr>
        <w:pStyle w:val="FirstParagraph"/>
      </w:pPr>
      <w:r>
        <w:br/>
      </w:r>
    </w:p>
    <w:p>
      <w:pPr>
        <w:pStyle w:val="BodyText"/>
      </w:pPr>
      <w:r>
        <w:t xml:space="preserve">This</w:t>
      </w:r>
      <w:r>
        <w:t xml:space="preserve"> </w:t>
      </w:r>
      <w:r>
        <w:rPr>
          <w:bCs/>
          <w:b/>
        </w:rPr>
        <w:t xml:space="preserve">Laboratory Report</w:t>
      </w:r>
      <w:r>
        <w:t xml:space="preserve">, hereinafter referred to as the "Lab Report," presents a comprehensive analytical study of the professional profile known as an</w:t>
      </w:r>
      <w:r>
        <w:t xml:space="preserve"> </w:t>
      </w:r>
      <w:r>
        <w:rPr>
          <w:bCs/>
          <w:b/>
        </w:rPr>
        <w:t xml:space="preserve">Accountant</w:t>
      </w:r>
      <w:r>
        <w:t xml:space="preserve">. The scope of this investigation is strictly localized to the economic and regulatory environment of Berlin, located in</w:t>
      </w:r>
      <w:r>
        <w:t xml:space="preserve"> </w:t>
      </w:r>
      <w:r>
        <w:rPr>
          <w:bCs/>
          <w:b/>
        </w:rPr>
        <w:t xml:space="preserve">Germany Berlin</w:t>
      </w:r>
      <w:r>
        <w:t xml:space="preserve">. As a central hub for startups, technology firms, and international corporations within Europe, Berlin presents unique challenges for financial management. This report aims to dissect the structural requirements, legal obligations (such as those governed by the</w:t>
      </w:r>
      <w:r>
        <w:t xml:space="preserve"> </w:t>
      </w:r>
      <w:r>
        <w:rPr>
          <w:iCs/>
          <w:i/>
        </w:rPr>
        <w:t xml:space="preserve">Wirtschaftsprüferordnung</w:t>
      </w:r>
      <w:r>
        <w:t xml:space="preserve"> </w:t>
      </w:r>
      <w:r>
        <w:t xml:space="preserve">or WPO), and linguistic demands placed upon accountants operating in this specific jurisdiction.</w:t>
      </w:r>
    </w:p>
    <w:p>
      <w:pPr>
        <w:pStyle w:val="BodyText"/>
      </w:pPr>
      <w:r>
        <w:br/>
      </w:r>
    </w:p>
    <w:bookmarkEnd w:id="20"/>
    <w:bookmarkStart w:id="21" w:name="methodology"/>
    <w:p>
      <w:pPr>
        <w:pStyle w:val="Heading3"/>
      </w:pPr>
      <w:r>
        <w:t xml:space="preserve">2. Methodology</w:t>
      </w:r>
    </w:p>
    <w:p>
      <w:pPr>
        <w:pStyle w:val="FirstParagraph"/>
      </w:pPr>
      <w:r>
        <w:br/>
      </w:r>
    </w:p>
    <w:p>
      <w:pPr>
        <w:pStyle w:val="BodyText"/>
      </w:pPr>
      <w:r>
        <w:t xml:space="preserve">To construct this Lab Report, data was aggregated from three primary sources:</w:t>
      </w:r>
    </w:p>
    <w:p>
      <w:pPr>
        <w:numPr>
          <w:ilvl w:val="0"/>
          <w:numId w:val="1001"/>
        </w:numPr>
        <w:pStyle w:val="Compact"/>
      </w:pPr>
      <w:r>
        <w:t xml:space="preserve">Legal texts regarding tax law (</w:t>
      </w:r>
      <w:r>
        <w:rPr>
          <w:iCs/>
          <w:i/>
        </w:rPr>
        <w:t xml:space="preserve">Einkommensteuergesetz</w:t>
      </w:r>
      <w:r>
        <w:t xml:space="preserve">) and commercial code (</w:t>
      </w:r>
      <w:r>
        <w:rPr>
          <w:iCs/>
          <w:i/>
        </w:rPr>
        <w:t xml:space="preserve">Handelsgesetzbuch</w:t>
      </w:r>
      <w:r>
        <w:t xml:space="preserve">) applicable in Germany.</w:t>
      </w:r>
    </w:p>
    <w:p>
      <w:pPr>
        <w:numPr>
          <w:ilvl w:val="0"/>
          <w:numId w:val="1001"/>
        </w:numPr>
        <w:pStyle w:val="Compact"/>
      </w:pPr>
      <w:r>
        <w:t xml:space="preserve">Economic surveys regarding the startup ecosystem in Berlin.</w:t>
      </w:r>
    </w:p>
    <w:p>
      <w:pPr>
        <w:numPr>
          <w:ilvl w:val="0"/>
          <w:numId w:val="1001"/>
        </w:numPr>
        <w:pStyle w:val="Compact"/>
      </w:pPr>
      <w:r>
        <w:t xml:space="preserve">Professional standards set by the Bundessteuerberaterkammer (Federal Tax Consultants Association).</w:t>
      </w:r>
    </w:p>
    <w:p>
      <w:pPr>
        <w:pStyle w:val="FirstParagraph"/>
      </w:pPr>
      <w:r>
        <w:br/>
      </w:r>
    </w:p>
    <w:bookmarkEnd w:id="21"/>
    <w:bookmarkStart w:id="22" w:name="the-accountant-role"/>
    <w:p>
      <w:pPr>
        <w:pStyle w:val="Heading3"/>
      </w:pPr>
      <w:r>
        <w:t xml:space="preserve">3. Analysis of the Accountant Profession</w:t>
      </w:r>
    </w:p>
    <w:p>
      <w:pPr>
        <w:pStyle w:val="FirstParagraph"/>
      </w:pPr>
      <w:r>
        <w:br/>
      </w:r>
    </w:p>
    <w:p>
      <w:pPr>
        <w:pStyle w:val="BodyText"/>
      </w:pPr>
      <w:r>
        <w:t xml:space="preserve">In the context of this Lab Report, we define an</w:t>
      </w:r>
      <w:r>
        <w:t xml:space="preserve"> </w:t>
      </w:r>
      <w:r>
        <w:rPr>
          <w:bCs/>
          <w:b/>
        </w:rPr>
        <w:t xml:space="preserve">Accountant</w:t>
      </w:r>
      <w:r>
        <w:t xml:space="preserve"> </w:t>
      </w:r>
      <w:r>
        <w:t xml:space="preserve">not merely as a bookkeeper, but as a strategic financial advisor. In Berlin, the distinction between a simple bookkeeper and a certified tax consultant (</w:t>
      </w:r>
      <w:r>
        <w:rPr>
          <w:iCs/>
          <w:i/>
        </w:rPr>
        <w:t xml:space="preserve">Steuerberater</w:t>
      </w:r>
      <w:r>
        <w:t xml:space="preserve">) is legally significant. While basic accounting duties can be outsourced to non-certified services, the ultimate responsibility for tax filings lies with qualified professionals or company management under strict supervision.</w:t>
      </w:r>
    </w:p>
    <w:p>
      <w:pPr>
        <w:pStyle w:val="BodyText"/>
      </w:pPr>
      <w:r>
        <w:br/>
      </w:r>
    </w:p>
    <w:p>
      <w:pPr>
        <w:pStyle w:val="BodyText"/>
      </w:pPr>
      <w:r>
        <w:t xml:space="preserve">The</w:t>
      </w:r>
      <w:r>
        <w:t xml:space="preserve"> </w:t>
      </w:r>
      <w:r>
        <w:rPr>
          <w:bCs/>
          <w:b/>
        </w:rPr>
        <w:t xml:space="preserve">Accountant</w:t>
      </w:r>
      <w:r>
        <w:t xml:space="preserve"> </w:t>
      </w:r>
      <w:r>
        <w:t xml:space="preserve">in this region acts as a critical interface between local municipal laws and federal German regulations. Their primary function involves ensuring that financial statements accurately reflect the economic reality of an entity, thereby preventing legal repercussions for corporate entities domiciled in</w:t>
      </w:r>
      <w:r>
        <w:t xml:space="preserve"> </w:t>
      </w:r>
      <w:r>
        <w:rPr>
          <w:bCs/>
          <w:b/>
        </w:rPr>
        <w:t xml:space="preserve">Germany Berlin</w:t>
      </w:r>
      <w:r>
        <w:t xml:space="preserve">.</w:t>
      </w:r>
    </w:p>
    <w:p>
      <w:pPr>
        <w:pStyle w:val="BodyText"/>
      </w:pPr>
      <w:r>
        <w:br/>
      </w:r>
    </w:p>
    <w:bookmarkEnd w:id="22"/>
    <w:bookmarkStart w:id="26" w:name="regulatory-framework-berlin"/>
    <w:p>
      <w:pPr>
        <w:pStyle w:val="Heading3"/>
      </w:pPr>
      <w:r>
        <w:t xml:space="preserve">4. Regulatory Framework in Germany Berlin</w:t>
      </w:r>
    </w:p>
    <w:p>
      <w:pPr>
        <w:pStyle w:val="FirstParagraph"/>
      </w:pPr>
      <w:r>
        <w:br/>
      </w:r>
    </w:p>
    <w:p>
      <w:pPr>
        <w:pStyle w:val="BodyText"/>
      </w:pPr>
      <w:r>
        <w:t xml:space="preserve">The operating environment for an</w:t>
      </w:r>
      <w:r>
        <w:t xml:space="preserve"> </w:t>
      </w:r>
      <w:r>
        <w:rPr>
          <w:bCs/>
          <w:b/>
        </w:rPr>
        <w:t xml:space="preserve">Accountant</w:t>
      </w:r>
      <w:r>
        <w:t xml:space="preserve"> </w:t>
      </w:r>
      <w:r>
        <w:t xml:space="preserve">in this region is governed by stringent German laws. This section of the Lab Report highlights key regulatory pillars:</w:t>
      </w:r>
    </w:p>
    <w:p>
      <w:pPr>
        <w:pStyle w:val="BodyText"/>
      </w:pPr>
      <w:r>
        <w:br/>
      </w:r>
    </w:p>
    <w:bookmarkStart w:id="23" w:name="the-commercial-code-hgb"/>
    <w:p>
      <w:pPr>
        <w:pStyle w:val="Heading4"/>
      </w:pPr>
      <w:r>
        <w:t xml:space="preserve">4.1 The Commercial Code (HGB)</w:t>
      </w:r>
    </w:p>
    <w:p>
      <w:pPr>
        <w:pStyle w:val="FirstParagraph"/>
      </w:pPr>
      <w:r>
        <w:br/>
      </w:r>
    </w:p>
    <w:p>
      <w:pPr>
        <w:pStyle w:val="BodyText"/>
      </w:pPr>
      <w:r>
        <w:t xml:space="preserve">All commercial entities in</w:t>
      </w:r>
      <w:r>
        <w:t xml:space="preserve"> </w:t>
      </w:r>
      <w:r>
        <w:rPr>
          <w:bCs/>
          <w:b/>
        </w:rPr>
        <w:t xml:space="preserve">Germany Berlin</w:t>
      </w:r>
      <w:r>
        <w:t xml:space="preserve">, regardless of size, must adhere to the principles outlined in the Handelsgesetzbuch. An</w:t>
      </w:r>
      <w:r>
        <w:t xml:space="preserve"> </w:t>
      </w:r>
      <w:r>
        <w:rPr>
          <w:bCs/>
          <w:b/>
        </w:rPr>
        <w:t xml:space="preserve">Accountant</w:t>
      </w:r>
      <w:r>
        <w:t xml:space="preserve"> </w:t>
      </w:r>
      <w:r>
        <w:t xml:space="preserve">is responsible for interpreting these standards, ensuring that assets and liabilities are valued correctly. Non-compliance can lead to severe penalties.</w:t>
      </w:r>
    </w:p>
    <w:p>
      <w:pPr>
        <w:pStyle w:val="BodyText"/>
      </w:pPr>
      <w:r>
        <w:br/>
      </w:r>
    </w:p>
    <w:bookmarkEnd w:id="23"/>
    <w:bookmarkStart w:id="24" w:name="tax-consultancy-act-wpo"/>
    <w:p>
      <w:pPr>
        <w:pStyle w:val="Heading4"/>
      </w:pPr>
      <w:r>
        <w:t xml:space="preserve">4.2 Tax Consultancy Act (WPO)</w:t>
      </w:r>
    </w:p>
    <w:p>
      <w:pPr>
        <w:pStyle w:val="FirstParagraph"/>
      </w:pPr>
      <w:r>
        <w:br/>
      </w:r>
    </w:p>
    <w:p>
      <w:pPr>
        <w:pStyle w:val="BodyText"/>
      </w:pPr>
      <w:r>
        <w:t xml:space="preserve">To officially represent clients before the tax office (</w:t>
      </w:r>
      <w:r>
        <w:rPr>
          <w:iCs/>
          <w:i/>
        </w:rPr>
        <w:t xml:space="preserve">Finanzamt</w:t>
      </w:r>
      <w:r>
        <w:t xml:space="preserve">) in Berlin, an</w:t>
      </w:r>
      <w:r>
        <w:t xml:space="preserve"> </w:t>
      </w:r>
      <w:r>
        <w:rPr>
          <w:bCs/>
          <w:b/>
        </w:rPr>
        <w:t xml:space="preserve">Accountant</w:t>
      </w:r>
      <w:r>
        <w:t xml:space="preserve"> </w:t>
      </w:r>
      <w:r>
        <w:t xml:space="preserve">typically requires a license under the Wirtschaftsprüferordnung. This Lab Report emphasizes that the title "Tax Consultant" is protected by law. In Berlin's competitive market, possessing this certification is often a prerequisite for high-level advisory roles.</w:t>
      </w:r>
    </w:p>
    <w:p>
      <w:pPr>
        <w:pStyle w:val="BodyText"/>
      </w:pPr>
      <w:r>
        <w:br/>
      </w:r>
    </w:p>
    <w:bookmarkEnd w:id="24"/>
    <w:bookmarkStart w:id="25" w:name="local-tax-office-finanzamt-specifics"/>
    <w:p>
      <w:pPr>
        <w:pStyle w:val="Heading4"/>
      </w:pPr>
      <w:r>
        <w:t xml:space="preserve">4.3 Local Tax Office (Finanzamt) Specifics</w:t>
      </w:r>
    </w:p>
    <w:p>
      <w:pPr>
        <w:pStyle w:val="FirstParagraph"/>
      </w:pPr>
      <w:r>
        <w:br/>
      </w:r>
    </w:p>
    <w:p>
      <w:pPr>
        <w:pStyle w:val="BodyText"/>
      </w:pPr>
      <w:r>
        <w:t xml:space="preserve">Berlin operates under various local tax offices depending on the district (e.g., Friedrichshain-Kreuzberg vs. Charlottenburg-Wilmersdorf). While federal tax laws apply uniformly, local enforcement nuances can exist. An experienced</w:t>
      </w:r>
      <w:r>
        <w:t xml:space="preserve"> </w:t>
      </w:r>
      <w:r>
        <w:rPr>
          <w:bCs/>
          <w:b/>
        </w:rPr>
        <w:t xml:space="preserve">Accountant</w:t>
      </w:r>
      <w:r>
        <w:t xml:space="preserve"> </w:t>
      </w:r>
      <w:r>
        <w:t xml:space="preserve">in this region must be adept at navigating these localized bureaucratic processes.</w:t>
      </w:r>
    </w:p>
    <w:p>
      <w:pPr>
        <w:pStyle w:val="BodyText"/>
      </w:pPr>
      <w:r>
        <w:br/>
      </w:r>
    </w:p>
    <w:bookmarkEnd w:id="25"/>
    <w:bookmarkEnd w:id="26"/>
    <w:bookmarkStart w:id="27" w:name="operational-dynamics"/>
    <w:p>
      <w:pPr>
        <w:pStyle w:val="Heading3"/>
      </w:pPr>
      <w:r>
        <w:t xml:space="preserve">5. Operational Dynamics and Challenges</w:t>
      </w:r>
    </w:p>
    <w:p>
      <w:pPr>
        <w:pStyle w:val="FirstParagraph"/>
      </w:pPr>
      <w:r>
        <w:br/>
      </w:r>
    </w:p>
    <w:p>
      <w:pPr>
        <w:pStyle w:val="BodyText"/>
      </w:pPr>
      <w:r>
        <w:t xml:space="preserve">The dynamic nature of the Berlin economy presents specific challenges for the modern</w:t>
      </w:r>
      <w:r>
        <w:t xml:space="preserve"> </w:t>
      </w:r>
      <w:r>
        <w:rPr>
          <w:bCs/>
          <w:b/>
        </w:rPr>
        <w:t xml:space="preserve">Accountant</w:t>
      </w:r>
      <w:r>
        <w:t xml:space="preserve">. The following points are extracted from observational data compiled for this Lab Report:</w:t>
      </w:r>
    </w:p>
    <w:p>
      <w:pPr>
        <w:pStyle w:val="BodyText"/>
      </w:pPr>
      <w:r>
        <w:br/>
      </w:r>
    </w:p>
    <w:p>
      <w:pPr>
        <w:numPr>
          <w:ilvl w:val="0"/>
          <w:numId w:val="1002"/>
        </w:numPr>
        <w:pStyle w:val="Compact"/>
      </w:pPr>
      <w:r>
        <w:rPr>
          <w:bCs/>
          <w:b/>
        </w:rPr>
        <w:t xml:space="preserve">Digitalization:</w:t>
      </w:r>
      <w:r>
        <w:t xml:space="preserve"> </w:t>
      </w:r>
      <w:r>
        <w:t xml:space="preserve">Berlin is a tech-forward city. Accountants must be proficient in digital accounting software (such as DATEV, which is the industry standard in Germany) and electronic invoice exchange formats like XRechnung.</w:t>
      </w:r>
    </w:p>
    <w:p>
      <w:pPr>
        <w:numPr>
          <w:ilvl w:val="0"/>
          <w:numId w:val="1002"/>
        </w:numPr>
        <w:pStyle w:val="Compact"/>
      </w:pPr>
      <w:r>
        <w:rPr>
          <w:bCs/>
          <w:b/>
        </w:rPr>
        <w:t xml:space="preserve">Language Proficiency:</w:t>
      </w:r>
      <w:r>
        <w:t xml:space="preserve"> </w:t>
      </w:r>
      <w:r>
        <w:t xml:space="preserve">While English is widely spoken in Berlin's corporate sector, German proficiency remains mandatory for an</w:t>
      </w:r>
      <w:r>
        <w:t xml:space="preserve"> </w:t>
      </w:r>
      <w:r>
        <w:rPr>
          <w:bCs/>
          <w:b/>
        </w:rPr>
        <w:t xml:space="preserve">Accountant</w:t>
      </w:r>
      <w:r>
        <w:t xml:space="preserve">. Tax forms, correspondence with the Finanzamt, and legal contracts are predominantly in German. A lack of fluency can result in critical filing errors.</w:t>
      </w:r>
    </w:p>
    <w:p>
      <w:pPr>
        <w:numPr>
          <w:ilvl w:val="0"/>
          <w:numId w:val="1002"/>
        </w:numPr>
        <w:pStyle w:val="Compact"/>
      </w:pPr>
      <w:r>
        <w:rPr>
          <w:bCs/>
          <w:b/>
        </w:rPr>
        <w:t xml:space="preserve">Startup Culture:</w:t>
      </w:r>
      <w:r>
        <w:t xml:space="preserve"> </w:t>
      </w:r>
      <w:r>
        <w:t xml:space="preserve">Many entities in Berlin are early-stage startups. These clients often lack internal financial departments. Consequently, the external</w:t>
      </w:r>
    </w:p>
    <w:p>
      <w:pPr>
        <w:numPr>
          <w:ilvl w:val="0"/>
          <w:numId w:val="1000"/>
        </w:numPr>
        <w:pStyle w:val="Compact"/>
      </w:pPr>
      <w:r>
        <w:t xml:space="preserve">Accountant</w:t>
      </w:r>
      <w:r>
        <w:br/>
      </w:r>
    </w:p>
    <w:p>
      <w:pPr>
        <w:pStyle w:val="FirstParagraph"/>
      </w:pPr>
      <w:r>
        <w:br/>
      </w:r>
    </w:p>
    <w:bookmarkEnd w:id="27"/>
    <w:bookmarkStart w:id="28" w:name="financial-implications"/>
    <w:p>
      <w:pPr>
        <w:pStyle w:val="Heading3"/>
      </w:pPr>
      <w:r>
        <w:t xml:space="preserve">6. Economic Impact Analysis</w:t>
      </w:r>
    </w:p>
    <w:p>
      <w:pPr>
        <w:pStyle w:val="FirstParagraph"/>
      </w:pPr>
      <w:r>
        <w:br/>
      </w:r>
    </w:p>
    <w:p>
      <w:pPr>
        <w:pStyle w:val="BodyText"/>
      </w:pPr>
      <w:r>
        <w:t xml:space="preserve">The economic value of employing a qualified</w:t>
      </w:r>
      <w:r>
        <w:t xml:space="preserve"> </w:t>
      </w:r>
      <w:r>
        <w:rPr>
          <w:bCs/>
          <w:b/>
        </w:rPr>
        <w:t xml:space="preserve">Accountant</w:t>
      </w:r>
      <w:r>
        <w:t xml:space="preserve"> </w:t>
      </w:r>
      <w:r>
        <w:t xml:space="preserve">in</w:t>
      </w:r>
      <w:r>
        <w:t xml:space="preserve"> </w:t>
      </w:r>
      <w:r>
        <w:rPr>
          <w:bCs/>
          <w:b/>
        </w:rPr>
        <w:t xml:space="preserve">Germany Berlin</w:t>
      </w:r>
      <w:r>
        <w:t xml:space="preserve"> </w:t>
      </w:r>
      <w:r>
        <w:t xml:space="preserve">cannot be overstated. According to data analyzed for this Lab Report:</w:t>
      </w:r>
    </w:p>
    <w:p>
      <w:pPr>
        <w:pStyle w:val="BodyText"/>
      </w:pPr>
      <w:r>
        <w:br/>
      </w:r>
    </w:p>
    <w:p>
      <w:pPr>
        <w:pStyle w:val="BodyText"/>
      </w:pPr>
      <w:r>
        <w:t xml:space="preserve">Metric</w:t>
      </w:r>
    </w:p>
    <w:p>
      <w:pPr>
        <w:pStyle w:val="BodyText"/>
      </w:pPr>
      <w:r>
        <w:t xml:space="preserve">Description</w:t>
      </w:r>
    </w:p>
    <w:p>
      <w:pPr>
        <w:pStyle w:val="BodyText"/>
      </w:pPr>
      <w:r>
        <w:br/>
      </w:r>
    </w:p>
    <w:p>
      <w:pPr>
        <w:pStyle w:val="BodyText"/>
      </w:pPr>
      <w:r>
        <w:t xml:space="preserve">Average Cost of Service</w:t>
      </w:r>
    </w:p>
    <w:p>
      <w:pPr>
        <w:pStyle w:val="BodyText"/>
      </w:pPr>
      <w:r>
        <w:t xml:space="preserve">Berlin-based accounting firms charge premium rates due to the high cost of living and operational overhead in the city.</w:t>
      </w:r>
    </w:p>
    <w:p>
      <w:pPr>
        <w:pStyle w:val="BodyText"/>
      </w:pPr>
      <w:r>
        <w:br/>
      </w:r>
    </w:p>
    <w:p>
      <w:pPr>
        <w:pStyle w:val="BodyText"/>
      </w:pPr>
      <w:r>
        <w:t xml:space="preserve">Tax Efficiency Savings</w:t>
      </w:r>
    </w:p>
    <w:p>
      <w:pPr>
        <w:pStyle w:val="BodyText"/>
      </w:pPr>
      <w:r>
        <w:t xml:space="preserve">Strategic tax planning by a local</w:t>
      </w:r>
      <w:r>
        <w:t xml:space="preserve"> </w:t>
      </w:r>
      <w:r>
        <w:rPr>
          <w:bCs/>
          <w:b/>
        </w:rPr>
        <w:t xml:space="preserve">Accountant</w:t>
      </w:r>
      <w:r>
        <w:t xml:space="preserve"> </w:t>
      </w:r>
      <w:r>
        <w:t xml:space="preserve">can reduce taxable income by optimizing deductions available under German law, such as R&amp;D credits for tech firms common in Berlin.</w:t>
      </w:r>
    </w:p>
    <w:p>
      <w:pPr>
        <w:pStyle w:val="BodyText"/>
      </w:pPr>
      <w:r>
        <w:br/>
      </w:r>
    </w:p>
    <w:p>
      <w:pPr>
        <w:pStyle w:val="BodyText"/>
      </w:pPr>
      <w:r>
        <w:t xml:space="preserve">Risk Mitigation</w:t>
      </w:r>
    </w:p>
    <w:p>
      <w:pPr>
        <w:pStyle w:val="BodyText"/>
      </w:pPr>
      <w:r>
        <w:t xml:space="preserve">Proper accounting mitigates the risk of audits and fines from the Finanzamt, which can be substantial in</w:t>
      </w:r>
      <w:r>
        <w:t xml:space="preserve"> </w:t>
      </w:r>
      <w:r>
        <w:rPr>
          <w:bCs/>
          <w:b/>
        </w:rPr>
        <w:t xml:space="preserve">Germany Berlin</w:t>
      </w:r>
      <w:r>
        <w:t xml:space="preserve">.</w:t>
      </w:r>
    </w:p>
    <w:p>
      <w:pPr>
        <w:pStyle w:val="BodyText"/>
      </w:pPr>
      <w:r>
        <w:br/>
      </w:r>
    </w:p>
    <w:bookmarkEnd w:id="28"/>
    <w:bookmarkStart w:id="29" w:name="conclusion"/>
    <w:p>
      <w:pPr>
        <w:pStyle w:val="Heading3"/>
      </w:pPr>
      <w:r>
        <w:t xml:space="preserve">7. Conclusion</w:t>
      </w:r>
    </w:p>
    <w:p>
      <w:pPr>
        <w:pStyle w:val="FirstParagraph"/>
      </w:pPr>
      <w:r>
        <w:br/>
      </w:r>
    </w:p>
    <w:p>
      <w:pPr>
        <w:pStyle w:val="BodyText"/>
      </w:pPr>
      <w:r>
        <w:t xml:space="preserve">This Lab Report concludes that the role of an</w:t>
      </w:r>
      <w:r>
        <w:t xml:space="preserve"> </w:t>
      </w:r>
      <w:r>
        <w:rPr>
          <w:bCs/>
          <w:b/>
        </w:rPr>
        <w:t xml:space="preserve">Accountant</w:t>
      </w:r>
      <w:r>
        <w:t xml:space="preserve"> </w:t>
      </w:r>
      <w:r>
        <w:t xml:space="preserve">in</w:t>
      </w:r>
      <w:r>
        <w:t xml:space="preserve"> </w:t>
      </w:r>
      <w:r>
        <w:rPr>
          <w:bCs/>
          <w:b/>
        </w:rPr>
        <w:t xml:space="preserve">Germany Berlin</w:t>
      </w:r>
      <w:r>
        <w:br/>
      </w:r>
    </w:p>
    <w:p>
      <w:pPr>
        <w:pStyle w:val="BodyText"/>
      </w:pPr>
      <w:r>
        <w:t xml:space="preserve">The findings suggest that any entity operating in</w:t>
      </w:r>
      <w:r>
        <w:t xml:space="preserve"> </w:t>
      </w:r>
      <w:r>
        <w:rPr>
          <w:bCs/>
          <w:b/>
        </w:rPr>
        <w:t xml:space="preserve">Germany Berlin</w:t>
      </w:r>
      <w:r>
        <w:t xml:space="preserve"> </w:t>
      </w:r>
      <w:r>
        <w:t xml:space="preserve">must prioritize hiring accountants who possess not only technical certification but also a deep understanding of local bureaucratic nuances. The synergy between the rigorous standards of the Lab Report's regulatory analysis and the practical needs of Berlin's economy underscores the necessity for professional, certified financial oversight.</w:t>
      </w:r>
    </w:p>
    <w:p>
      <w:pPr>
        <w:pStyle w:val="BodyText"/>
      </w:pPr>
      <w:r>
        <w:br/>
      </w:r>
    </w:p>
    <w:p>
      <w:pPr>
        <w:pStyle w:val="BodyText"/>
      </w:pPr>
      <w:r>
        <w:t xml:space="preserve">In summary, an</w:t>
      </w:r>
      <w:r>
        <w:t xml:space="preserve"> </w:t>
      </w:r>
      <w:r>
        <w:rPr>
          <w:bCs/>
          <w:b/>
        </w:rPr>
        <w:t xml:space="preserve">Accountant</w:t>
      </w:r>
      <w:r>
        <w:t xml:space="preserve"> </w:t>
      </w:r>
      <w:r>
        <w:t xml:space="preserve">is a vital component of the economic infrastructure in</w:t>
      </w:r>
      <w:r>
        <w:t xml:space="preserve"> </w:t>
      </w:r>
      <w:r>
        <w:rPr>
          <w:bCs/>
          <w:b/>
        </w:rPr>
        <w:t xml:space="preserve">Germany Berlin</w:t>
      </w:r>
      <w:r>
        <w:t xml:space="preserve">, ensuring stability, compliance, and growth for businesses ranging from small GmbHs to large multinational subsidiaries.</w:t>
      </w:r>
    </w:p>
    <w:p>
      <w:pPr>
        <w:pStyle w:val="BodyText"/>
      </w:pPr>
      <w:r>
        <w:br/>
      </w:r>
    </w:p>
    <w:p>
      <w:pPr>
        <w:pStyle w:val="BodyText"/>
      </w:pPr>
      <w:r>
        <w:rPr>
          <w:iCs/>
          <w:i/>
        </w:rPr>
        <w:t xml:space="preserve">- End of Laboratory Analysis Report -</w:t>
      </w:r>
    </w:p>
    <w:p>
      <w:pPr>
        <w:pStyle w:val="BodyText"/>
      </w:pPr>
      <w:r>
        <w:br/>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Analysis in Germany, Berlin</dc:title>
  <dc:creator/>
  <dc:language>en</dc:language>
  <cp:keywords/>
  <dcterms:created xsi:type="dcterms:W3CDTF">2026-07-29T03:31:56Z</dcterms:created>
  <dcterms:modified xsi:type="dcterms:W3CDTF">2026-07-29T03:31:56Z</dcterms:modified>
</cp:coreProperties>
</file>

<file path=docProps/custom.xml><?xml version="1.0" encoding="utf-8"?>
<Properties xmlns="http://schemas.openxmlformats.org/officeDocument/2006/custom-properties" xmlns:vt="http://schemas.openxmlformats.org/officeDocument/2006/docPropsVTypes"/>
</file>