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1" w:name="laboratory-analysis-report"/>
    <w:p>
      <w:pPr>
        <w:pStyle w:val="Heading1"/>
      </w:pPr>
      <w:r>
        <w:t xml:space="preserve">Laboratory Analysis Report</w:t>
      </w:r>
    </w:p>
    <w:bookmarkStart w:id="20" w:name="X2116c1f973da512b1f0be1788dcc8fad1e51138"/>
    <w:p>
      <w:pPr>
        <w:pStyle w:val="Heading3"/>
      </w:pPr>
      <w:r>
        <w:rPr>
          <w:bCs/>
          <w:b/>
        </w:rPr>
        <w:t xml:space="preserve">District:</w:t>
      </w:r>
      <w:r>
        <w:br/>
      </w:r>
      <w:r>
        <w:t xml:space="preserve">Accountant</w:t>
      </w:r>
      <w:r>
        <w:br/>
      </w:r>
      <w:r>
        <w:t xml:space="preserve">Region: Germany Frankfurt</w:t>
      </w:r>
    </w:p>
    <w:p>
      <w:pPr>
        <w:pStyle w:val="FirstParagraph"/>
      </w:pPr>
      <w:r>
        <w:rPr>
          <w:bCs/>
          <w:b/>
        </w:rPr>
        <w:t xml:space="preserve">Date of Analysis:</w:t>
      </w:r>
      <w:r>
        <w:t xml:space="preserve"> </w:t>
      </w:r>
      <w:r>
        <w:t xml:space="preserve">October 26, 2023</w:t>
      </w:r>
      <w:r>
        <w:br/>
      </w:r>
      <w:r>
        <w:rPr>
          <w:bCs/>
          <w:b/>
        </w:rPr>
        <w:t xml:space="preserve">Status:</w:t>
      </w:r>
      <w:r>
        <w:t xml:space="preserve"> </w:t>
      </w:r>
      <w:r>
        <w:t xml:space="preserve">Comprehensive Review</w:t>
      </w:r>
    </w:p>
    <w:bookmarkEnd w:id="20"/>
    <w:bookmarkEnd w:id="21"/>
    <w:bookmarkStart w:id="22" w:name="abstract"/>
    <w:p>
      <w:pPr>
        <w:pStyle w:val="Heading2"/>
      </w:pPr>
      <w:r>
        <w:t xml:space="preserve">1. Abstract</w:t>
      </w:r>
    </w:p>
    <w:p>
      <w:pPr>
        <w:pStyle w:val="FirstParagraph"/>
      </w:pPr>
      <w:r>
        <w:t xml:space="preserve">This lab report provides a comprehensive analytical overview of the professional role and operational requirements of an Accountant situated within the economic ecosystem of Germany Frankfurt. As one of Europe’s leading financial hubs, Frankfurt demands a rigorous standard for fiscal responsibility, regulatory compliance, and strategic financial management. This document serves as a formal record examining the duties, legal frameworks (specifically German GAAP and HGB), and cultural expectations inherent to this profession in this specific geographic jurisdiction. The analysis underscores that an Accountant in Germany Frankfurt is not merely a bookkeeper but a critical strategic partner required to navigate complex tax laws, international reporting standards, and the high-pressure environment of the global financial capital.</w:t>
      </w:r>
    </w:p>
    <w:bookmarkEnd w:id="22"/>
    <w:bookmarkStart w:id="23" w:name="introduction-and-contextual-background"/>
    <w:p>
      <w:pPr>
        <w:pStyle w:val="Heading2"/>
      </w:pPr>
      <w:r>
        <w:t xml:space="preserve">2. Introduction and Contextual Background</w:t>
      </w:r>
    </w:p>
    <w:p>
      <w:pPr>
        <w:pStyle w:val="FirstParagraph"/>
      </w:pPr>
      <w:r>
        <w:t xml:space="preserve">The selection of</w:t>
      </w:r>
      <w:r>
        <w:t xml:space="preserve"> </w:t>
      </w:r>
      <w:r>
        <w:rPr>
          <w:bCs/>
          <w:b/>
        </w:rPr>
        <w:t xml:space="preserve">Germany Frankfurt</w:t>
      </w:r>
      <w:r>
        <w:t xml:space="preserve"> </w:t>
      </w:r>
      <w:r>
        <w:t xml:space="preserve">as the primary locus for this laboratory report is deliberate and significant. Frankfurt am Main, often referred to as "Mainhattan," hosts the European Central Bank (ECB), the German Federal Bank (Bundesbank), and numerous international banking institutions. Consequently, the demand for high-caliber financial professionals is at an apex level within this region.</w:t>
      </w:r>
    </w:p>
    <w:p>
      <w:pPr>
        <w:pStyle w:val="BodyText"/>
      </w:pPr>
      <w:r>
        <w:t xml:space="preserve">The role of the</w:t>
      </w:r>
      <w:r>
        <w:t xml:space="preserve"> </w:t>
      </w:r>
      <w:r>
        <w:rPr>
          <w:bCs/>
          <w:b/>
        </w:rPr>
        <w:t xml:space="preserve">Accountant</w:t>
      </w:r>
      <w:r>
        <w:t xml:space="preserve"> </w:t>
      </w:r>
      <w:r>
        <w:t xml:space="preserve">in this specific locale transcends traditional accounting functions. It involves a fusion of technical precision, legal adherence to German commercial codes, and soft skills tailored to the pragmatic and formal business culture prevalent in Hesse. This report aims to deconstruct these layers, providing a structured examination of what constitutes effective performance for an Accountant operating in this high-stakes environment.</w:t>
      </w:r>
    </w:p>
    <w:bookmarkEnd w:id="23"/>
    <w:bookmarkStart w:id="24" w:name="methodology-of-analysis"/>
    <w:p>
      <w:pPr>
        <w:pStyle w:val="Heading2"/>
      </w:pPr>
      <w:r>
        <w:t xml:space="preserve">3. Methodology of Analysis</w:t>
      </w:r>
    </w:p>
    <w:p>
      <w:pPr>
        <w:pStyle w:val="FirstParagraph"/>
      </w:pPr>
      <w:r>
        <w:t xml:space="preserve">The data presented in this lab report was synthesized through the following analytical methods:</w:t>
      </w:r>
    </w:p>
    <w:p>
      <w:pPr>
        <w:pStyle w:val="BodyText"/>
      </w:pPr>
      <w:r>
        <w:rPr>
          <w:bCs/>
          <w:b/>
        </w:rPr>
        <w:t xml:space="preserve">Literature Review of Statutory Requirements:</w:t>
      </w:r>
    </w:p>
    <w:p>
      <w:pPr>
        <w:pStyle w:val="BodyText"/>
      </w:pPr>
      <w:r>
        <w:t xml:space="preserve">An examination of the Handelsgesetzbuch (HGB) and Einkommensteuergesetz (EStG).</w:t>
      </w:r>
    </w:p>
    <w:p>
      <w:pPr>
        <w:pStyle w:val="BodyText"/>
      </w:pPr>
      <w:r>
        <w:rPr>
          <w:bCs/>
          <w:b/>
        </w:rPr>
        <w:t xml:space="preserve">Comparative Jurisdictional Study:</w:t>
      </w:r>
    </w:p>
    <w:p>
      <w:pPr>
        <w:pStyle w:val="BodyText"/>
      </w:pPr>
      <w:r>
        <w:t xml:space="preserve">A comparison between standard international accounting practices and the specific mandates enforced in Germany Frankfurt.</w:t>
      </w:r>
    </w:p>
    <w:p>
      <w:pPr>
        <w:pStyle w:val="BodyText"/>
      </w:pPr>
      <w:r>
        <w:rPr>
          <w:bCs/>
          <w:b/>
        </w:rPr>
        <w:t xml:space="preserve">Skill Competency Mapping:</w:t>
      </w:r>
    </w:p>
    <w:p>
      <w:pPr>
        <w:pStyle w:val="BodyText"/>
      </w:pPr>
      <w:r>
        <w:t xml:space="preserve">An assessment of the technical and interpersonal skills required by employers within the Frankfurt financial district.</w:t>
      </w:r>
    </w:p>
    <w:bookmarkEnd w:id="24"/>
    <w:bookmarkStart w:id="26" w:name="X86eca42395751282a8c43eaffa964bd5ffddd8d"/>
    <w:p>
      <w:pPr>
        <w:pStyle w:val="Heading2"/>
      </w:pPr>
      <w:r>
        <w:t xml:space="preserve">4. Laboratory Findings: The Role of the Accountant</w:t>
      </w:r>
    </w:p>
    <w:bookmarkStart w:id="25" w:name="X259c6d191db4a3932c6912acc9fbb6826503b56"/>
    <w:p>
      <w:pPr>
        <w:pStyle w:val="Heading3"/>
      </w:pPr>
      <w:r>
        <w:rPr>
          <w:bCs/>
          <w:b/>
        </w:rPr>
        <w:t xml:space="preserve">A. Regulatory Compliance in Germany Frankfurt</w:t>
      </w:r>
    </w:p>
    <w:p>
      <w:pPr>
        <w:pStyle w:val="FirstParagraph"/>
      </w:pPr>
      <w:r>
        <w:t xml:space="preserve">The primary finding indicates that an Accountant in this region must possess meticulous knowledge of German tax law. Unlike some jurisdictions where accrual accounting is flexible, German Accounting principles (GoB) emphasize prudence and clarity. The Accountant is legally responsible for ensuring that all financial statements accurately reflect the company's assets and liabilities according to the</w:t>
      </w:r>
      <w:r>
        <w:t xml:space="preserve"> </w:t>
      </w:r>
      <w:r>
        <w:rPr>
          <w:bCs/>
          <w:b/>
        </w:rPr>
        <w:t xml:space="preserve">Germany Frankfurt</w:t>
      </w:r>
      <w:r>
        <w:t xml:space="preserve"> </w:t>
      </w:r>
      <w:r>
        <w:t xml:space="preserve">local tax office (Finanzamt) standards.</w:t>
      </w:r>
    </w:p>
    <w:p>
      <w:pPr>
        <w:pStyle w:val="BodyText"/>
      </w:pPr>
      <w:r>
        <w:rPr>
          <w:bCs/>
          <w:b/>
        </w:rPr>
        <w:t xml:space="preserve">Fiscal Duty</w:t>
      </w:r>
    </w:p>
    <w:bookmarkEnd w:id="25"/>
    <w:bookmarkEnd w:id="26"/>
    <w:p>
      <w:pPr>
        <w:pStyle w:val="BodyText"/>
      </w:pPr>
      <w:r>
        <w:t xml:space="preserve">Description in Context of Germany Frankfurt</w:t>
      </w:r>
    </w:p>
    <w:p>
      <w:pPr>
        <w:pStyle w:val="BodyText"/>
      </w:pPr>
      <w:r>
        <w:t xml:space="preserve">Tax Filing Accuracy</w:t>
      </w:r>
    </w:p>
    <w:p>
      <w:pPr>
        <w:pStyle w:val="BodyText"/>
      </w:pPr>
      <w:r>
        <w:t xml:space="preserve">Mandatory adherence to strict deadlines for VAT (Umsatzsteuer) and Corporate Tax. Errors are penalized heavily.</w:t>
      </w:r>
    </w:p>
    <w:p>
      <w:pPr>
        <w:pStyle w:val="BodyText"/>
      </w:pPr>
      <w:r>
        <w:t xml:space="preserve">Balance Sheet Preparation</w:t>
      </w:r>
    </w:p>
    <w:p>
      <w:pPr>
        <w:pStyle w:val="BodyText"/>
      </w:pPr>
      <w:r>
        <w:t xml:space="preserve">Must comply with HGB regulations, prioritizing legal capital maintenance over aggressive profit recognition.</w:t>
      </w:r>
    </w:p>
    <w:p>
      <w:pPr>
        <w:pStyle w:val="BodyText"/>
      </w:pPr>
      <w:r>
        <w:t xml:space="preserve">Audit Readiness</w:t>
      </w:r>
    </w:p>
    <w:p>
      <w:pPr>
        <w:pStyle w:val="BodyText"/>
      </w:pPr>
      <w:r>
        <w:t xml:space="preserve">The Accountant must prepare documentation that withstands scrutiny from external auditors and tax inspectors in Frankfurt.</w:t>
      </w:r>
    </w:p>
    <w:bookmarkStart w:id="27" w:name="b.-technical-competencies-required"/>
    <w:p>
      <w:pPr>
        <w:pStyle w:val="Heading3"/>
      </w:pPr>
      <w:r>
        <w:rPr>
          <w:bCs/>
          <w:b/>
        </w:rPr>
        <w:t xml:space="preserve">B. Technical Competencies Required</w:t>
      </w:r>
    </w:p>
    <w:p>
      <w:pPr>
        <w:pStyle w:val="FirstParagraph"/>
      </w:pPr>
      <w:r>
        <w:t xml:space="preserve">The laboratory analysis identifies specific technical tools and standards mandatory for an Accountant in this district:</w:t>
      </w:r>
    </w:p>
    <w:p>
      <w:pPr>
        <w:numPr>
          <w:ilvl w:val="0"/>
          <w:numId w:val="1001"/>
        </w:numPr>
        <w:pStyle w:val="Compact"/>
      </w:pPr>
      <w:r>
        <w:rPr>
          <w:bCs/>
          <w:b/>
        </w:rPr>
        <w:t xml:space="preserve">SAP ERP Systems:</w:t>
      </w:r>
    </w:p>
    <w:p>
      <w:pPr>
        <w:numPr>
          <w:ilvl w:val="0"/>
          <w:numId w:val="1001"/>
        </w:numPr>
        <w:pStyle w:val="Compact"/>
      </w:pPr>
      <w:r>
        <w:rPr>
          <w:bCs/>
          <w:b/>
        </w:rPr>
        <w:t xml:space="preserve">Bilingual Proficiency</w:t>
      </w:r>
      <w:r>
        <w:t xml:space="preserve">: While English is the language of international banking, an Accountant in Germany Frankfurt must demonstrate fluent German to interpret legal texts and communicate with local authorities.</w:t>
      </w:r>
    </w:p>
    <w:p>
      <w:pPr>
        <w:numPr>
          <w:ilvl w:val="0"/>
          <w:numId w:val="1001"/>
        </w:numPr>
        <w:pStyle w:val="Compact"/>
      </w:pPr>
      <w:r>
        <w:rPr>
          <w:bCs/>
          <w:b/>
        </w:rPr>
        <w:t xml:space="preserve">Digitalization Tools:</w:t>
      </w:r>
      <w:r>
        <w:t xml:space="preserve"> </w:t>
      </w:r>
      <w:r>
        <w:t xml:space="preserve">Familiarity with modern cloud-based accounting software that integrates with German e-invoicing standards (ZUGFeRD).</w:t>
      </w:r>
    </w:p>
    <w:bookmarkEnd w:id="27"/>
    <w:bookmarkStart w:id="28" w:name="c.-strategic-advisory-functions"/>
    <w:p>
      <w:pPr>
        <w:pStyle w:val="Heading3"/>
      </w:pPr>
      <w:r>
        <w:rPr>
          <w:bCs/>
          <w:b/>
        </w:rPr>
        <w:t xml:space="preserve">C. Strategic Advisory Functions</w:t>
      </w:r>
    </w:p>
    <w:p>
      <w:pPr>
        <w:pStyle w:val="FirstParagraph"/>
      </w:pPr>
      <w:r>
        <w:t xml:space="preserve">Beyond compliance, the Accountant in Germany Frankfurt acts as a strategic advisor. Given the city’s status as a financial hub, companies often seek insights on liquidity management, cross-border transaction optimization, and risk mitigation. The Accountant must interpret complex financial data to guide executive decision-making within the unique economic landscape of</w:t>
      </w:r>
      <w:r>
        <w:t xml:space="preserve"> </w:t>
      </w:r>
      <w:r>
        <w:rPr>
          <w:bCs/>
          <w:b/>
        </w:rPr>
        <w:t xml:space="preserve">Germany Frankfurt</w:t>
      </w:r>
      <w:r>
        <w:t xml:space="preserve">.</w:t>
      </w:r>
    </w:p>
    <w:bookmarkEnd w:id="28"/>
    <w:bookmarkStart w:id="29" w:name="d.-cultural-and-professional-etiquette"/>
    <w:p>
      <w:pPr>
        <w:pStyle w:val="Heading2"/>
      </w:pPr>
      <w:r>
        <w:rPr>
          <w:bCs/>
          <w:b/>
        </w:rPr>
        <w:t xml:space="preserve">D. Cultural and Professional Etiquette</w:t>
      </w:r>
    </w:p>
    <w:p>
      <w:pPr>
        <w:pStyle w:val="FirstParagraph"/>
      </w:pPr>
      <w:r>
        <w:t xml:space="preserve">The professional culture in Germany Frankfurt places a high premium on structure, punctuality, and formal communication. The lab report notes that an Accountant must exhibit:</w:t>
      </w:r>
    </w:p>
    <w:p>
      <w:pPr>
        <w:pStyle w:val="BodyText"/>
      </w:pPr>
      <w:r>
        <w:rPr>
          <w:bCs/>
          <w:b/>
        </w:rPr>
        <w:t xml:space="preserve">Precision:</w:t>
      </w:r>
    </w:p>
    <w:p>
      <w:pPr>
        <w:pStyle w:val="BodyText"/>
      </w:pPr>
      <w:r>
        <w:t xml:space="preserve">A zero-tolerance attitude toward minor errors.</w:t>
      </w:r>
    </w:p>
    <w:p>
      <w:pPr>
        <w:pStyle w:val="BodyText"/>
      </w:pPr>
      <w:r>
        <w:rPr>
          <w:bCs/>
          <w:b/>
        </w:rPr>
        <w:t xml:space="preserve">Data Privacy:</w:t>
      </w:r>
    </w:p>
    <w:p>
      <w:pPr>
        <w:pStyle w:val="BodyText"/>
      </w:pPr>
      <w:r>
        <w:t xml:space="preserve">Igorous adherence to GDPR (DSGVO) regulations, which is strictly enforced in this region.</w:t>
      </w:r>
    </w:p>
    <w:bookmarkEnd w:id="29"/>
    <w:bookmarkStart w:id="30" w:name="e.-challenges-and-risk-assessment"/>
    <w:p>
      <w:pPr>
        <w:pStyle w:val="Heading2"/>
      </w:pPr>
      <w:r>
        <w:rPr>
          <w:bCs/>
          <w:b/>
        </w:rPr>
        <w:t xml:space="preserve">E. Challenges and Risk Assessment</w:t>
      </w:r>
    </w:p>
    <w:p>
      <w:pPr>
        <w:pStyle w:val="FirstParagraph"/>
      </w:pPr>
      <w:r>
        <w:t xml:space="preserve">The analysis highlights several challenges faced by Accountants in this sector:</w:t>
      </w:r>
    </w:p>
    <w:p>
      <w:pPr>
        <w:numPr>
          <w:ilvl w:val="0"/>
          <w:numId w:val="1002"/>
        </w:numPr>
        <w:pStyle w:val="Compact"/>
      </w:pPr>
      <w:r>
        <w:rPr>
          <w:bCs/>
          <w:b/>
        </w:rPr>
        <w:t xml:space="preserve">Bureaucratic Complexity:</w:t>
      </w:r>
    </w:p>
    <w:p>
      <w:pPr>
        <w:numPr>
          <w:ilvl w:val="0"/>
          <w:numId w:val="1002"/>
        </w:numPr>
        <w:pStyle w:val="Compact"/>
      </w:pPr>
      <w:r>
        <w:rPr>
          <w:bCs/>
          <w:b/>
        </w:rPr>
        <w:t xml:space="preserve">High-Pressure Environment:</w:t>
      </w:r>
    </w:p>
    <w:p>
      <w:pPr>
        <w:numPr>
          <w:ilvl w:val="0"/>
          <w:numId w:val="1000"/>
        </w:numPr>
        <w:pStyle w:val="Compact"/>
      </w:pPr>
      <w:r>
        <w:t xml:space="preserve">The fast-paced nature of the financial district demands rapid turnaround times for reporting without compromising accuracy.</w:t>
      </w:r>
    </w:p>
    <w:p>
      <w:pPr>
        <w:numPr>
          <w:ilvl w:val="0"/>
          <w:numId w:val="1002"/>
        </w:numPr>
        <w:pStyle w:val="Compact"/>
      </w:pPr>
      <w:r>
        <w:t xml:space="preserve">Cybersecurity Threats:</w:t>
      </w:r>
    </w:p>
    <w:bookmarkEnd w:id="30"/>
    <w:bookmarkStart w:id="31" w:name="f.-conclusion"/>
    <w:p>
      <w:pPr>
        <w:pStyle w:val="Heading2"/>
      </w:pPr>
      <w:r>
        <w:rPr>
          <w:bCs/>
          <w:b/>
        </w:rPr>
        <w:t xml:space="preserve">F. Conclusion</w:t>
      </w:r>
    </w:p>
    <w:p>
      <w:pPr>
        <w:pStyle w:val="FirstParagraph"/>
      </w:pPr>
      <w:r>
        <w:t xml:space="preserve">This laboratory report concludes that the role of an Accountant in Germany Frankfurt is one of the most demanding and critical positions within the corporate sector. It requires a synthesis of deep legal knowledge, technical proficiency in enterprise software, and strict adherence to ethical standards. The financial stability of institutions in</w:t>
      </w:r>
      <w:r>
        <w:t xml:space="preserve"> </w:t>
      </w:r>
      <w:r>
        <w:rPr>
          <w:bCs/>
          <w:b/>
        </w:rPr>
        <w:t xml:space="preserve">Germany Frankfurt</w:t>
      </w:r>
      <w:r>
        <w:t xml:space="preserve"> </w:t>
      </w:r>
      <w:r>
        <w:t xml:space="preserve">relies heavily on the integrity and accuracy provided by these professionals.</w:t>
      </w:r>
    </w:p>
    <w:p>
      <w:pPr>
        <w:pStyle w:val="BodyText"/>
      </w:pPr>
      <w:r>
        <w:t xml:space="preserve">The findings suggest that any individual or entity engaging with an Accountant in this region must expect a high degree of formality, precision, and regulatory compliance. The Accountant is not merely a recorder of history but a guardian of financial legality and strategic insight. As the financial landscape in Frankfurt continues to evolve with digital transformation and international expansion, the requirements for this role will only become more specialized.</w:t>
      </w:r>
    </w:p>
    <w:bookmarkEnd w:id="31"/>
    <w:bookmarkStart w:id="32" w:name="g.-recommendations"/>
    <w:p>
      <w:pPr>
        <w:pStyle w:val="Heading2"/>
      </w:pPr>
      <w:r>
        <w:rPr>
          <w:bCs/>
          <w:b/>
        </w:rPr>
        <w:t xml:space="preserve">G. Recommendations</w:t>
      </w:r>
    </w:p>
    <w:p>
      <w:pPr>
        <w:numPr>
          <w:ilvl w:val="0"/>
          <w:numId w:val="1003"/>
        </w:numPr>
        <w:pStyle w:val="Compact"/>
      </w:pPr>
      <w:r>
        <w:t xml:space="preserve">Mandatory Continuous Training:</w:t>
      </w:r>
    </w:p>
    <w:p>
      <w:pPr>
        <w:numPr>
          <w:ilvl w:val="0"/>
          <w:numId w:val="1003"/>
        </w:numPr>
        <w:pStyle w:val="Compact"/>
      </w:pPr>
      <w:r>
        <w:t xml:space="preserve">Tech Integration: Companies should invest in automated compliance tools to reduce human error.</w:t>
      </w:r>
    </w:p>
    <w:p>
      <w:pPr>
        <w:numPr>
          <w:ilvl w:val="0"/>
          <w:numId w:val="1003"/>
        </w:numPr>
        <w:pStyle w:val="Compact"/>
      </w:pPr>
      <w:r>
        <w:t xml:space="preserve">Bilingual Emphasis:</w:t>
      </w:r>
    </w:p>
    <w:bookmarkEnd w:id="32"/>
    <w:bookmarkStart w:id="33" w:name="h.-references-and-appendices"/>
    <w:p>
      <w:pPr>
        <w:pStyle w:val="Heading2"/>
      </w:pPr>
      <w:r>
        <w:rPr>
          <w:bCs/>
          <w:b/>
        </w:rPr>
        <w:t xml:space="preserve">H. References and Appendices</w:t>
      </w:r>
    </w:p>
    <w:p>
      <w:pPr>
        <w:pStyle w:val="FirstParagraph"/>
      </w:pPr>
      <w:r>
        <w:t xml:space="preserve">This report was prepared in accordance with standard laboratory documentation protocols for professional services analysis.</w:t>
      </w:r>
    </w:p>
    <w:bookmarkEnd w:id="33"/>
    <w:p>
      <w:pPr>
        <w:pStyle w:val="FirstParagraph"/>
      </w:pPr>
      <w:r>
        <w:rPr>
          <w:bCs/>
          <w:b/>
        </w:rPr>
        <w:t xml:space="preserve">End of Lab Report Document</w:t>
      </w:r>
    </w:p>
    <w:p>
      <w:pPr>
        <w:pStyle w:val="BodyText"/>
      </w:pPr>
      <w:r>
        <w:br/>
      </w:r>
    </w:p>
    <w:p>
      <w:pPr>
        <w:pStyle w:val="BodyText"/>
      </w:pPr>
      <w:r>
        <w:t xml:space="preserve">District Reference ID: ACC-FRA-DE-2023-X99</w:t>
      </w:r>
    </w:p>
    <w:p>
      <w:pPr>
        <w:pStyle w:val="BodyText"/>
      </w:pPr>
      <w:r>
        <w:t xml:space="preserve">Region Verified: Germany FrankfurtLi</w:t>
      </w:r>
      <w:r>
        <w:rPr>
          <w:vertAlign w:val="subscript"/>
        </w:rPr>
        <w:t xml:space="preserve">Fiscal Officer Accountant Profile Analyzed.</w:t>
      </w:r>
      <w:r>
        <w:br/>
      </w:r>
    </w:p>
    <w:p>
      <w:pPr>
        <w:pStyle w:val="BodyText"/>
      </w:pPr>
      <w:r>
        <w:t xml:space="preserve">This document is intended for internal review and professional reference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Accountant in Germany Frankfurt</dc:title>
  <dc:creator/>
  <dc:language>en</dc:language>
  <cp:keywords/>
  <dcterms:created xsi:type="dcterms:W3CDTF">2026-07-29T19:36:23Z</dcterms:created>
  <dcterms:modified xsi:type="dcterms:W3CDTF">2026-07-29T19:36:23Z</dcterms:modified>
</cp:coreProperties>
</file>

<file path=docProps/custom.xml><?xml version="1.0" encoding="utf-8"?>
<Properties xmlns="http://schemas.openxmlformats.org/officeDocument/2006/custom-properties" xmlns:vt="http://schemas.openxmlformats.org/officeDocument/2006/docPropsVTypes"/>
</file>