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Operational</w:t>
      </w:r>
      <w:r>
        <w:t xml:space="preserve"> </w:t>
      </w:r>
      <w:r>
        <w:t xml:space="preserve">Analysis</w:t>
      </w:r>
      <w:r>
        <w:t xml:space="preserve"> </w:t>
      </w:r>
      <w:r>
        <w:t xml:space="preserve">of</w:t>
      </w:r>
      <w:r>
        <w:t xml:space="preserve"> </w:t>
      </w:r>
      <w:r>
        <w:t xml:space="preserve">the</w:t>
      </w:r>
      <w:r>
        <w:t xml:space="preserve"> </w:t>
      </w:r>
      <w:r>
        <w:t xml:space="preserve">Accountant</w:t>
      </w:r>
      <w:r>
        <w:t xml:space="preserve"> </w:t>
      </w:r>
      <w:r>
        <w:t xml:space="preserve">Profession</w:t>
      </w:r>
      <w:r>
        <w:t xml:space="preserve"> </w:t>
      </w:r>
      <w:r>
        <w:t xml:space="preserve">in</w:t>
      </w:r>
      <w:r>
        <w:t xml:space="preserve"> </w:t>
      </w:r>
      <w:r>
        <w:t xml:space="preserve">Germany</w:t>
      </w:r>
      <w:r>
        <w:t xml:space="preserve"> </w:t>
      </w:r>
      <w:r>
        <w:t xml:space="preserve">Munich</w:t>
      </w:r>
    </w:p>
    <w:bookmarkStart w:id="20" w:name="X1b13772df3e2ece458662afbfe35c4fb4b26898"/>
    <w:p>
      <w:pPr>
        <w:pStyle w:val="Heading1"/>
      </w:pPr>
      <w:r>
        <w:t xml:space="preserve">Laboratory Analysis Report: The Accountant in Germany Munich</w:t>
      </w:r>
    </w:p>
    <w:p>
      <w:pPr>
        <w:pStyle w:val="FirstParagraph"/>
      </w:pPr>
      <w:r>
        <w:rPr>
          <w:bCs/>
          <w:b/>
        </w:rPr>
        <w:t xml:space="preserve">Date:</w:t>
      </w:r>
      <w:r>
        <w:t xml:space="preserve"> </w:t>
      </w:r>
      <w:r>
        <w:t xml:space="preserve">October 24, 2023</w:t>
      </w:r>
    </w:p>
    <w:p>
      <w:pPr>
        <w:pStyle w:val="BodyText"/>
      </w:pPr>
      <w:r>
        <w:rPr>
          <w:bCs/>
          <w:b/>
        </w:rPr>
        <w:t xml:space="preserve">Subject:</w:t>
      </w:r>
      <w:r>
        <w:t xml:space="preserve">The Role, Regulatory Framework, and Operational Dynamics of the Accountant Profession within the Economic Ecosystem of Germany Munich.</w:t>
      </w:r>
    </w:p>
    <w:bookmarkEnd w:id="20"/>
    <w:bookmarkStart w:id="21" w:name="executive-summary"/>
    <w:p>
      <w:pPr>
        <w:pStyle w:val="Heading2"/>
      </w:pPr>
      <w:r>
        <w:t xml:space="preserve">1. Executive Summary</w:t>
      </w:r>
    </w:p>
    <w:p>
      <w:pPr>
        <w:pStyle w:val="FirstParagraph"/>
      </w:pPr>
      <w:r>
        <w:t xml:space="preserve">This document serves as a comprehensive laboratory report analyzing the function, regulatory environment, and socio-economic impact of an Accountant operating within the specific geographical and economic context of Germany Munich. As one of Germany's most prosperous metropolitan centers, Munich presents unique challenges for financial professionals due to its high cost of living, dense concentration of multinational corporations (Mittelstand), and rigorous bureaucratic standards. The primary objective of this report is to dissect the "Laboratory" conditions under which an Accountant in Germany Munich operates, evaluating compliance with German tax law (Abgabenordnung), commercial code (Handelsgesetzbuch), and local municipal regulations.</w:t>
      </w:r>
    </w:p>
    <w:bookmarkEnd w:id="21"/>
    <w:bookmarkStart w:id="22" w:name="introduction-and-objectives"/>
    <w:p>
      <w:pPr>
        <w:pStyle w:val="Heading2"/>
      </w:pPr>
      <w:r>
        <w:t xml:space="preserve">2. Introduction and Objectives</w:t>
      </w:r>
    </w:p>
    <w:p>
      <w:pPr>
        <w:pStyle w:val="FirstParagraph"/>
      </w:pPr>
      <w:r>
        <w:t xml:space="preserve">The term "Laboratory" is used metaphorically to describe the Munich economic environment as a controlled experiment in financial stability and regulatory adherence. In this lab, the Accountant acts as both the observer and the active agent of compliance. The objectives of this report are:</w:t>
      </w:r>
    </w:p>
    <w:p>
      <w:pPr>
        <w:numPr>
          <w:ilvl w:val="0"/>
          <w:numId w:val="1001"/>
        </w:numPr>
        <w:pStyle w:val="Compact"/>
      </w:pPr>
      <w:r>
        <w:t xml:space="preserve">To define the legal parameters governing an Accountant in Germany Munich.</w:t>
      </w:r>
    </w:p>
    <w:p>
      <w:pPr>
        <w:numPr>
          <w:ilvl w:val="0"/>
          <w:numId w:val="1001"/>
        </w:numPr>
        <w:pStyle w:val="Compact"/>
      </w:pPr>
      <w:r>
        <w:t xml:space="preserve">To analyze the specific tax obligations applicable to residents and businesses within Bavarian jurisdiction.</w:t>
      </w:r>
    </w:p>
    <w:p>
      <w:pPr>
        <w:numPr>
          <w:ilvl w:val="0"/>
          <w:numId w:val="1001"/>
        </w:numPr>
        <w:pStyle w:val="Compact"/>
      </w:pPr>
      <w:r>
        <w:t xml:space="preserve">To evaluate the skill set required to navigate the intersection of international accounting standards and German local practices.</w:t>
      </w:r>
    </w:p>
    <w:bookmarkEnd w:id="22"/>
    <w:bookmarkStart w:id="23" w:name="methodology-the-munich-economic-context"/>
    <w:p>
      <w:pPr>
        <w:pStyle w:val="Heading2"/>
      </w:pPr>
      <w:r>
        <w:t xml:space="preserve">3. Methodology: The Munich Economic Context</w:t>
      </w:r>
    </w:p>
    <w:p>
      <w:pPr>
        <w:pStyle w:val="FirstParagraph"/>
      </w:pPr>
      <w:r>
        <w:t xml:space="preserve">Munich, the capital of Bavaria, serves as a distinct economic hub within Germany. Unlike Berlin or Hamburg, which may have more transient corporate structures, Munich is characterized by established family-owned enterprises (Mittelstand) alongside global tech and automotive giants like Siemens and BMW. Therefore, the methodology for this report involves analyzing the Accountant’s role through three lenses:</w:t>
      </w:r>
    </w:p>
    <w:p>
      <w:pPr>
        <w:numPr>
          <w:ilvl w:val="0"/>
          <w:numId w:val="1002"/>
        </w:numPr>
        <w:pStyle w:val="Compact"/>
      </w:pPr>
      <w:r>
        <w:rPr>
          <w:bCs/>
          <w:b/>
        </w:rPr>
        <w:t xml:space="preserve">Regulatory Compliance:</w:t>
      </w:r>
      <w:r>
        <w:t xml:space="preserve">Analyzing adherence to the Finanzamt (Tax Office) requirements specific to Munich.</w:t>
      </w:r>
    </w:p>
    <w:p>
      <w:pPr>
        <w:numPr>
          <w:ilvl w:val="0"/>
          <w:numId w:val="1002"/>
        </w:numPr>
        <w:pStyle w:val="Compact"/>
      </w:pPr>
      <w:r>
        <w:t xml:space="preserve">Fiscal Strategy:Evaluating how an Accountant optimizes tax liabilities within the framework of German law, considering trade tax (Gewerbesteuer) rates unique to Munich districts.</w:t>
      </w:r>
    </w:p>
    <w:p>
      <w:pPr>
        <w:numPr>
          <w:ilvl w:val="0"/>
          <w:numId w:val="1002"/>
        </w:numPr>
        <w:pStyle w:val="Compact"/>
      </w:pPr>
      <w:r>
        <w:t xml:space="preserve">Digital Integration:Assessing the adoption of E-Invoicing and digital reporting tools mandated by recent updates in German fiscal transparency laws.</w:t>
      </w:r>
    </w:p>
    <w:bookmarkEnd w:id="23"/>
    <w:bookmarkStart w:id="26" w:name="Xb161f299985f9c03bcfec20a655a466d03db500"/>
    <w:p>
      <w:pPr>
        <w:pStyle w:val="Heading2"/>
      </w:pPr>
      <w:r>
        <w:t xml:space="preserve">4. Laboratory Conditions: Regulatory Framework for an Accountant</w:t>
      </w:r>
    </w:p>
    <w:p>
      <w:pPr>
        <w:pStyle w:val="FirstParagraph"/>
      </w:pPr>
      <w:r>
        <w:t xml:space="preserve">In the laboratory of Germany Munich, the Accountant cannot operate without strict adherence to national and local statutes. The primary governing body is the Bundesverband der Steuerberater und vereidigten Buchhalter (BStB). To function as an independent Accountant in this region, one must either be a Steuerberater (Tax Consultant) or a geprüfter Buchhalter (Certified Bookkeeper).</w:t>
      </w:r>
    </w:p>
    <w:bookmarkStart w:id="24" w:name="the-role-of-the-finanzamt-munich"/>
    <w:p>
      <w:pPr>
        <w:pStyle w:val="Heading3"/>
      </w:pPr>
      <w:r>
        <w:t xml:space="preserve">4.1 The Role of the Finanzamt Munich</w:t>
      </w:r>
    </w:p>
    <w:p>
      <w:pPr>
        <w:pStyle w:val="FirstParagraph"/>
      </w:pPr>
      <w:r>
        <w:t xml:space="preserve">The Munich Tax Office is notoriously precise and bureaucratic. For an Accountant, the interaction with the Finanzamt is not merely administrative but critical to client survival. Errors in reporting income tax (Einkommensteuer) or corporate tax (Körperschaftsteuer) can lead to significant penalties due to the strict enforcement mechanisms employed by Bavarian authorities.</w:t>
      </w:r>
    </w:p>
    <w:bookmarkEnd w:id="24"/>
    <w:bookmarkStart w:id="25" w:name="trade-tax-implications"/>
    <w:p>
      <w:pPr>
        <w:pStyle w:val="Heading3"/>
      </w:pPr>
      <w:r>
        <w:t xml:space="preserve">4.2 Trade Tax Implications</w:t>
      </w:r>
    </w:p>
    <w:p>
      <w:pPr>
        <w:pStyle w:val="FirstParagraph"/>
      </w:pPr>
      <w:r>
        <w:t xml:space="preserve">A unique variable in this "lab" is the Gewerbesteuer (Trade Tax). Munich has one of the highest Hebesätze (multipliers) for trade tax in Germany. Consequently, an Accountant working in this region must possess advanced strategic planning capabilities to mitigate these costs legally, distinguishing themselves from generalists who might only handle basic bookkeeping.</w:t>
      </w:r>
    </w:p>
    <w:bookmarkEnd w:id="25"/>
    <w:bookmarkEnd w:id="26"/>
    <w:bookmarkStart w:id="27" w:name="experimental-results-competency-analysis"/>
    <w:p>
      <w:pPr>
        <w:pStyle w:val="Heading2"/>
      </w:pPr>
      <w:r>
        <w:t xml:space="preserve">5. Experimental Results: Competency Analysis</w:t>
      </w:r>
    </w:p>
    <w:p>
      <w:pPr>
        <w:pStyle w:val="FirstParagraph"/>
      </w:pPr>
      <w:r>
        <w:t xml:space="preserve">The following table outlines the essential competencies required for an Accountant to successfully operate in the Germany Munich ecosystem. These results are derived from an analysis of current job postings, legal requirements, and client expectations within the city.</w:t>
      </w:r>
    </w:p>
    <w:p>
      <w:pPr>
        <w:pStyle w:val="BodyText"/>
      </w:pPr>
      <w:r>
        <w:t xml:space="preserve">Competency Area</w:t>
      </w:r>
    </w:p>
    <w:bookmarkEnd w:id="27"/>
    <w:p>
      <w:pPr>
        <w:pStyle w:val="BodyText"/>
      </w:pPr>
      <w:r>
        <w:t xml:space="preserve">Description</w:t>
      </w:r>
    </w:p>
    <w:p>
      <w:pPr>
        <w:pStyle w:val="BodyText"/>
      </w:pPr>
      <w:r>
        <w:t xml:space="preserve">Munich-Specific Relevance</w:t>
      </w:r>
    </w:p>
    <w:p>
      <w:pPr>
        <w:pStyle w:val="BodyText"/>
      </w:pPr>
      <w:r>
        <w:t xml:space="preserve">Languages</w:t>
      </w:r>
    </w:p>
    <w:p>
      <w:pPr>
        <w:pStyle w:val="BodyText"/>
      </w:pPr>
      <w:r>
        <w:t xml:space="preserve">Fluency in German (C1/C2 level) and English.</w:t>
      </w:r>
    </w:p>
    <w:p>
      <w:pPr>
        <w:pStyle w:val="BodyText"/>
      </w:pPr>
      <w:r>
        <w:t xml:space="preserve">Critical for communicating with local authorities (Finanzamt) and international clients.</w:t>
      </w:r>
    </w:p>
    <w:p>
      <w:pPr>
        <w:pStyle w:val="BodyText"/>
      </w:pPr>
      <w:r>
        <w:t xml:space="preserve">Technical Knowledge</w:t>
      </w:r>
    </w:p>
    <w:p>
      <w:pPr>
        <w:pStyle w:val="BodyText"/>
      </w:pPr>
      <w:r>
        <w:t xml:space="preserve">German GAAP vs. IFRS</w:t>
      </w:r>
    </w:p>
    <w:p>
      <w:pPr>
        <w:pStyle w:val="BodyText"/>
      </w:pPr>
      <w:r>
        <w:t xml:space="preserve">Munich hosts many DAX-listed companies requiring IFRS, while SMEs use HGB.</w:t>
      </w:r>
    </w:p>
    <w:p>
      <w:pPr>
        <w:pStyle w:val="BodyText"/>
      </w:pPr>
      <w:r>
        <w:t xml:space="preserve">Tax Law Updates (EStG, KStG)</w:t>
      </w:r>
    </w:p>
    <w:p>
      <w:pPr>
        <w:pStyle w:val="BodyText"/>
      </w:pPr>
      <w:r>
        <w:t xml:space="preserve">Must track annual legislative changes impacting Bavarian businesses.</w:t>
      </w:r>
    </w:p>
    <w:p>
      <w:pPr>
        <w:pStyle w:val="BodyText"/>
      </w:pPr>
      <w:r>
        <w:t xml:space="preserve">Digital ToolsDatev Software proficiency.Datev is the industry standard in Germany Munich; mastery is non-negotiable.</w:t>
      </w:r>
    </w:p>
    <w:bookmarkStart w:id="30" w:name="discussion-the-high-stakes-environment"/>
    <w:p>
      <w:pPr>
        <w:pStyle w:val="Heading2"/>
      </w:pPr>
      <w:r>
        <w:t xml:space="preserve">6. Discussion: The High-Stakes Environment</w:t>
      </w:r>
    </w:p>
    <w:p>
      <w:pPr>
        <w:pStyle w:val="FirstParagraph"/>
      </w:pPr>
      <w:r>
        <w:t xml:space="preserve">The economic density of Germany Munich creates a high-pressure laboratory environment for Accountants. The cost of living in Munich is among the highest in Europe, which drives up operational costs for accounting firms. Furthermore, the competitive landscape is fierce. An Accountant must offer more than just data entry; they must provide strategic financial counsel.</w:t>
      </w:r>
    </w:p>
    <w:bookmarkStart w:id="28" w:name="cultural-nuances"/>
    <w:p>
      <w:pPr>
        <w:pStyle w:val="Heading3"/>
      </w:pPr>
      <w:r>
        <w:t xml:space="preserve">6.1 Cultural Nuances</w:t>
      </w:r>
    </w:p>
    <w:p>
      <w:pPr>
        <w:pStyle w:val="FirstParagraph"/>
      </w:pPr>
      <w:r>
        <w:t xml:space="preserve">Bavarian business culture values precision, punctuality, and formal hierarchy. In this context, an Accountant in Germany Munich is expected to exhibit a high degree of formality and reliability. The "trust" variable (Vertrauen) is paramount. Clients do not merely hire an accountant for compliance; they hire them for continuity and security.</w:t>
      </w:r>
    </w:p>
    <w:bookmarkEnd w:id="28"/>
    <w:bookmarkStart w:id="29" w:name="digital-transformation-challenges"/>
    <w:p>
      <w:pPr>
        <w:pStyle w:val="Heading3"/>
      </w:pPr>
      <w:r>
        <w:t xml:space="preserve">6.2 Digital Transformation Challenges</w:t>
      </w:r>
    </w:p>
    <w:p>
      <w:pPr>
        <w:pStyle w:val="FirstParagraph"/>
      </w:pPr>
      <w:r>
        <w:t xml:space="preserve">Recent German reforms, including the introduction of digital reporting requirements (e.g., GoBD - Grundsätze zum Ordnungsmäßigen der Führung von Büchern und Aufzeichnungen), have forced Accountants to modernize rapidly. In Munich, where tech-savviness is high due to the presence of major technology hubs, clients expect seamless integration with cloud-based accounting solutions that still comply with strict German data privacy laws (DSGVO/GDPR).</w:t>
      </w:r>
    </w:p>
    <w:bookmarkEnd w:id="29"/>
    <w:bookmarkEnd w:id="30"/>
    <w:bookmarkStart w:id="31" w:name="conclusion"/>
    <w:p>
      <w:pPr>
        <w:pStyle w:val="Heading2"/>
      </w:pPr>
      <w:r>
        <w:t xml:space="preserve">7. Conclusion</w:t>
      </w:r>
    </w:p>
    <w:p>
      <w:pPr>
        <w:pStyle w:val="FirstParagraph"/>
      </w:pPr>
      <w:r>
        <w:t xml:space="preserve">In conclusion, the role of an Accountant in Germany Munich is far more complex than standard bookkeeping implies. It requires a deep understanding of local Bavarian tax incentives, strict adherence to federal German accounting standards, and the ability to navigate a highly competitive and expensive economic landscape. The "Laboratory" results indicate that success in this region demands not only technical proficiency with tools like Datev but also strong linguistic capabilities in German and strategic financial acumen.</w:t>
      </w:r>
    </w:p>
    <w:p>
      <w:pPr>
        <w:pStyle w:val="BodyText"/>
      </w:pPr>
      <w:r>
        <w:t xml:space="preserve">The Accountant serves as the vital link between local business activities and the rigorous oversight of the German state. For businesses operating in Germany Munich, employing a qualified Accountant is not optional but essential for survival. Future research should focus on how artificial intelligence will further reshape this role within the specific constraints of Bavarian tax law.</w:t>
      </w:r>
    </w:p>
    <w:bookmarkEnd w:id="31"/>
    <w:bookmarkStart w:id="32" w:name="references-and-appendices"/>
    <w:p>
      <w:pPr>
        <w:pStyle w:val="Heading2"/>
      </w:pPr>
      <w:r>
        <w:t xml:space="preserve">8. References and Appendices</w:t>
      </w:r>
    </w:p>
    <w:p>
      <w:pPr>
        <w:numPr>
          <w:ilvl w:val="0"/>
          <w:numId w:val="1003"/>
        </w:numPr>
        <w:pStyle w:val="Compact"/>
      </w:pPr>
      <w:r>
        <w:t xml:space="preserve">Bundesministerium der Finanzen (BMF) - Guidelines on Accounting Standards.</w:t>
      </w:r>
    </w:p>
    <w:p>
      <w:pPr>
        <w:pStyle w:val="FirstParagraph"/>
      </w:pPr>
      <w:r>
        <w:br/>
      </w:r>
    </w:p>
    <w:bookmarkEnd w:id="32"/>
    <w:p>
      <w:pPr>
        <w:pStyle w:val="BodyText"/>
      </w:pPr>
      <w:r>
        <w:t xml:space="preserve">Münchner Finanzamt - Local Tax Office Procedures for Municipal Enterprises.</w:t>
      </w:r>
    </w:p>
    <w:p>
      <w:pPr>
        <w:pStyle w:val="BodyText"/>
      </w:pPr>
      <w:r>
        <w:t xml:space="preserve">Gesetz zur Förderung des E-Rechnungsformats im Verkehr mit der öffentlichen Hand (ZUGFeRD).</w:t>
      </w:r>
    </w:p>
    <w:p>
      <w:pPr>
        <w:pStyle w:val="BodyText"/>
      </w:pPr>
      <w:r>
        <w:br/>
      </w:r>
    </w:p>
    <w:p>
      <w:r>
        <w:pict>
          <v:rect style="width:0;height:1.5pt" o:hralign="center" o:hrstd="t" o:hr="t"/>
        </w:pict>
      </w:r>
    </w:p>
    <w:p>
      <w:pPr>
        <w:pStyle w:val="FirstParagraph"/>
      </w:pPr>
      <w:r>
        <w:rPr>
          <w:bCs/>
          <w:b/>
        </w:rPr>
        <w:t xml:space="preserve">Prepared by:</w:t>
      </w:r>
      <w:r>
        <w:t xml:space="preserve">Name: Dr. Alexander Weber</w:t>
      </w:r>
    </w:p>
    <w:p>
      <w:pPr>
        <w:pStyle w:val="BodyText"/>
      </w:pPr>
      <w:r>
        <w:t xml:space="preserve">Position: Senior Financial Analyst</w:t>
      </w:r>
    </w:p>
    <w:p>
      <w:pPr>
        <w:pStyle w:val="BodyText"/>
      </w:pPr>
      <w:r>
        <w:br/>
      </w:r>
      <w:r>
        <w:t xml:space="preserve">Affiliation: Munich Institute of Fiscal Studies</w:t>
      </w:r>
    </w:p>
    <w:p>
      <w:r>
        <w:pict>
          <v:rect style="width:0;height:1.5pt" o:hralign="center" o:hrstd="t" o:hr="t"/>
        </w:pict>
      </w:r>
    </w:p>
    <w:p>
      <w:pPr>
        <w:pStyle w:val="FirstParagraph"/>
      </w:pPr>
      <w:r>
        <w:rPr>
          <w:bCs/>
          <w:b/>
        </w:rPr>
        <w:t xml:space="preserve">Date:</w:t>
      </w:r>
      <w:r>
        <w:t xml:space="preserve">[Current Date]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Operational Analysis of the Accountant Profession in Germany Munich</dc:title>
  <dc:creator/>
  <dc:language>en</dc:language>
  <cp:keywords/>
  <dcterms:created xsi:type="dcterms:W3CDTF">2026-07-29T05:02:25Z</dcterms:created>
  <dcterms:modified xsi:type="dcterms:W3CDTF">2026-07-29T05:02:25Z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