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Accounting</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32" w:name="X6f1601c79f23b8f336a15ca3f0ee81eb1504cfe"/>
    <w:p>
      <w:pPr>
        <w:pStyle w:val="Heading1"/>
      </w:pPr>
      <w:r>
        <w:t xml:space="preserve">Comprehensive Lab Report on Accounting Practices for the Region of India New Delhi</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Financial Regulatory Compliance Board</w:t>
      </w:r>
      <w:r>
        <w:br/>
      </w:r>
      <w:r>
        <w:rPr>
          <w:bCs/>
          <w:b/>
        </w:rPr>
        <w:t xml:space="preserve">Jurisdiction Focus:</w:t>
      </w:r>
      <w:r>
        <w:t xml:space="preserve"> </w:t>
      </w:r>
      <w:r>
        <w:t xml:space="preserve">India New Delhi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detailed Lab Report analyzing the structural, regulatory, and operational dynamics of accounting professions within the specific geographic and economic context of India New Delhi. As the national capital territory,</w:t>
      </w:r>
      <w:r>
        <w:t xml:space="preserve"> </w:t>
      </w:r>
      <w:r>
        <w:rPr>
          <w:bCs/>
          <w:b/>
        </w:rPr>
        <w:t xml:space="preserve">India New Delhi</w:t>
      </w:r>
      <w:r>
        <w:t xml:space="preserve"> </w:t>
      </w:r>
      <w:r>
        <w:t xml:space="preserve">presents a unique ecosystem for financial services, characterized by high-volume government contracting, international corporate headquarters presence in areas like Greater Kailash (GK), Lajpat Nagar, and Connaught Place (CP). The primary objective of this Lab Report is to evaluate the competency framework required for an</w:t>
      </w:r>
      <w:r>
        <w:t xml:space="preserve"> </w:t>
      </w:r>
      <w:r>
        <w:rPr>
          <w:bCs/>
          <w:b/>
        </w:rPr>
        <w:t xml:space="preserve">Accountant</w:t>
      </w:r>
      <w:r>
        <w:t xml:space="preserve"> </w:t>
      </w:r>
      <w:r>
        <w:t xml:space="preserve">operating in this highly regulated metropolitan zone. The findings suggest that modern accountants in</w:t>
      </w:r>
      <w:r>
        <w:t xml:space="preserve"> </w:t>
      </w:r>
      <w:r>
        <w:rPr>
          <w:bCs/>
          <w:b/>
        </w:rPr>
        <w:t xml:space="preserve">India New Delhi</w:t>
      </w:r>
      <w:r>
        <w:t xml:space="preserve"> </w:t>
      </w:r>
      <w:r>
        <w:t xml:space="preserve">must transcend traditional bookkeeping roles to become strategic financial advisors capable of navigating complex GST (Goods and Services Tax) regimes, digital compliance mandates, and cross-border taxation laws.</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Accountant</w:t>
      </w:r>
      <w:r>
        <w:t xml:space="preserve"> </w:t>
      </w:r>
      <w:r>
        <w:t xml:space="preserve">has evolved significantly over the last decade. In the context of</w:t>
      </w:r>
      <w:r>
        <w:t xml:space="preserve"> </w:t>
      </w:r>
      <w:r>
        <w:rPr>
          <w:bCs/>
          <w:b/>
        </w:rPr>
        <w:t xml:space="preserve">India New Delhi</w:t>
      </w:r>
      <w:r>
        <w:t xml:space="preserve">, this evolution is accelerated by rapid urbanization, strict regulatory oversight from bodies such as the Income Tax Department and various professional councils like ICAI (Institute of Chartered Accountants of India). This Lab Report aims to dissect these changes, providing a structured analysis of how an</w:t>
      </w:r>
      <w:r>
        <w:t xml:space="preserve"> </w:t>
      </w:r>
      <w:r>
        <w:rPr>
          <w:bCs/>
          <w:b/>
        </w:rPr>
        <w:t xml:space="preserve">Accountant</w:t>
      </w:r>
      <w:r>
        <w:t xml:space="preserve"> </w:t>
      </w:r>
      <w:r>
        <w:t xml:space="preserve">must adapt their skill set to meet the demands of clients in</w:t>
      </w:r>
      <w:r>
        <w:t xml:space="preserve"> </w:t>
      </w:r>
      <w:r>
        <w:rPr>
          <w:bCs/>
          <w:b/>
        </w:rPr>
        <w:t xml:space="preserve">India New Delhi</w:t>
      </w:r>
      <w:r>
        <w:t xml:space="preserve">. The report covers technical proficiency, regulatory adherence, ethical considerations, and technological integration.</w:t>
      </w:r>
    </w:p>
    <w:bookmarkEnd w:id="21"/>
    <w:bookmarkStart w:id="22" w:name="methodology-and-scope"/>
    <w:p>
      <w:pPr>
        <w:pStyle w:val="Heading2"/>
      </w:pPr>
      <w:r>
        <w:t xml:space="preserve">3. Methodology and Scope</w:t>
      </w:r>
    </w:p>
    <w:p>
      <w:pPr>
        <w:pStyle w:val="FirstParagraph"/>
      </w:pPr>
      <w:r>
        <w:t xml:space="preserve">This Lab Report utilizes a qualitative analytical approach. Data was gathered by examining standard operating procedures (SOPs) used by top-tier firms located in</w:t>
      </w:r>
      <w:r>
        <w:t xml:space="preserve"> </w:t>
      </w:r>
      <w:r>
        <w:rPr>
          <w:bCs/>
          <w:b/>
        </w:rPr>
        <w:t xml:space="preserve">India New Delhi</w:t>
      </w:r>
      <w:r>
        <w:t xml:space="preserve">, reviewing recent amendments to the Indian Financial Code, and conducting comparative analyses of accounting standards (Ind-AS vs. IFRS). The scope is limited to individual and corporate accounting services within the metropolitan limits of</w:t>
      </w:r>
      <w:r>
        <w:t xml:space="preserve"> </w:t>
      </w:r>
      <w:r>
        <w:rPr>
          <w:bCs/>
          <w:b/>
        </w:rPr>
        <w:t xml:space="preserve">India New Delhi</w:t>
      </w:r>
      <w:r>
        <w:t xml:space="preserve">.</w:t>
      </w:r>
    </w:p>
    <w:bookmarkEnd w:id="22"/>
    <w:bookmarkStart w:id="26" w:name="Xa79d52bb0cb56d6e6a4c734a53ac436191d6402"/>
    <w:p>
      <w:pPr>
        <w:pStyle w:val="Heading2"/>
      </w:pPr>
      <w:r>
        <w:t xml:space="preserve">4. Regulatory Environment in India New Delhi</w:t>
      </w:r>
    </w:p>
    <w:p>
      <w:pPr>
        <w:pStyle w:val="FirstParagraph"/>
      </w:pPr>
      <w:r>
        <w:t xml:space="preserve">The most critical aspect for any</w:t>
      </w:r>
      <w:r>
        <w:t xml:space="preserve"> </w:t>
      </w:r>
      <w:r>
        <w:rPr>
          <w:bCs/>
          <w:b/>
        </w:rPr>
        <w:t xml:space="preserve">Accountant</w:t>
      </w:r>
      <w:r>
        <w:t xml:space="preserve"> </w:t>
      </w:r>
      <w:r>
        <w:t xml:space="preserve">practicing in</w:t>
      </w:r>
    </w:p>
    <w:p>
      <w:pPr>
        <w:pStyle w:val="BodyText"/>
      </w:pPr>
      <w:r>
        <w:t xml:space="preserve">India New Delhi is understanding the local and national regulatory framework.</w:t>
      </w:r>
    </w:p>
    <w:bookmarkStart w:id="23" w:name="goods-and-services-tax-gst"/>
    <w:p>
      <w:pPr>
        <w:pStyle w:val="Heading3"/>
      </w:pPr>
      <w:r>
        <w:t xml:space="preserve">4.1 Goods and Services Tax (GST)</w:t>
      </w:r>
    </w:p>
    <w:p>
      <w:pPr>
        <w:pStyle w:val="FirstParagraph"/>
      </w:pPr>
      <w:r>
        <w:t xml:space="preserve">GST implementation has revolutionized taxation in</w:t>
      </w:r>
    </w:p>
    <w:p>
      <w:pPr>
        <w:pStyle w:val="BodyText"/>
      </w:pPr>
      <w:r>
        <w:t xml:space="preserve">India New Delhi. An</w:t>
      </w:r>
      <w:r>
        <w:t xml:space="preserve"> </w:t>
      </w:r>
      <w:r>
        <w:rPr>
          <w:bCs/>
          <w:b/>
        </w:rPr>
        <w:t xml:space="preserve">Accountant</w:t>
      </w:r>
      <w:r>
        <w:t xml:space="preserve"> </w:t>
      </w:r>
      <w:r>
        <w:t xml:space="preserve">must be proficient in filing GSTR-1, GSTR-3B, and annual returns. The Lab Report highlights that errors in GST compliance are frequent penalties for businesses in</w:t>
      </w:r>
    </w:p>
    <w:p>
      <w:pPr>
        <w:pStyle w:val="BodyText"/>
      </w:pPr>
      <w:r>
        <w:t xml:space="preserve">India New Delhi due to the complex nature of input tax credits (ITC). Therefore, precision and real-time tracking of invoices are mandatory skills for the modern</w:t>
      </w:r>
    </w:p>
    <w:p>
      <w:pPr>
        <w:pStyle w:val="BodyText"/>
      </w:pPr>
      <w:r>
        <w:t xml:space="preserve">Accountant.</w:t>
      </w:r>
    </w:p>
    <w:bookmarkEnd w:id="23"/>
    <w:bookmarkStart w:id="24" w:name="Xef432bdac2ee2ba3f3c0cf83014c7bf49daa563"/>
    <w:p>
      <w:pPr>
        <w:pStyle w:val="Heading3"/>
      </w:pPr>
      <w:r>
        <w:t xml:space="preserve">4.2 Direct Taxation and Income Tax Returns (ITR)</w:t>
      </w:r>
    </w:p>
    <w:p>
      <w:pPr>
        <w:pStyle w:val="FirstParagraph"/>
      </w:pPr>
      <w:r>
        <w:t xml:space="preserve">In</w:t>
      </w:r>
    </w:p>
    <w:p>
      <w:pPr>
        <w:pStyle w:val="BodyText"/>
      </w:pPr>
      <w:r>
        <w:t xml:space="preserve">India New Delhi, where high-net-worth individuals (HNIs) and expatriates reside, income tax compliance is intricate. The</w:t>
      </w:r>
    </w:p>
    <w:p>
      <w:pPr>
        <w:pStyle w:val="BodyText"/>
      </w:pPr>
      <w:r>
        <w:t xml:space="preserve">Accountant must manage TDS (Tax Deducted at Source), advance tax calculations, and scrutiny assessments. The Lab Report notes that the Delhi High Court has seen a surge in tax-related litigation, emphasizing the need for robust documentation and defense strategies prepared by the</w:t>
      </w:r>
    </w:p>
    <w:p>
      <w:pPr>
        <w:pStyle w:val="BodyText"/>
      </w:pPr>
      <w:r>
        <w:t xml:space="preserve">Accountant.</w:t>
      </w:r>
    </w:p>
    <w:bookmarkEnd w:id="24"/>
    <w:bookmarkStart w:id="25" w:name="professional-standards"/>
    <w:p>
      <w:pPr>
        <w:pStyle w:val="Heading3"/>
      </w:pPr>
      <w:r>
        <w:t xml:space="preserve">4.3 Professional Standards</w:t>
      </w:r>
    </w:p>
    <w:p>
      <w:pPr>
        <w:pStyle w:val="FirstParagraph"/>
      </w:pPr>
      <w:r>
        <w:t xml:space="preserve">The Institute of Chartered Accountants of India (ICAI) sets strict ethical standards. In</w:t>
      </w:r>
    </w:p>
    <w:p>
      <w:pPr>
        <w:pStyle w:val="BodyText"/>
      </w:pPr>
      <w:r>
        <w:t xml:space="preserve">India New Delhi, peer reviews are common. An</w:t>
      </w:r>
    </w:p>
    <w:p>
      <w:pPr>
        <w:pStyle w:val="BodyText"/>
      </w:pPr>
      <w:r>
        <w:t xml:space="preserve">Accountant must adhere to the Code of Ethics, ensuring independence, integrity, and professional competence.</w:t>
      </w:r>
    </w:p>
    <w:bookmarkEnd w:id="25"/>
    <w:bookmarkEnd w:id="26"/>
    <w:bookmarkStart w:id="27" w:name="X34f71beeae4a3f24550c2d4514dd488ba6c5e87"/>
    <w:p>
      <w:pPr>
        <w:pStyle w:val="Heading2"/>
      </w:pPr>
      <w:r>
        <w:t xml:space="preserve">5. Operational Challenges and Solutions for the Accountant in India New Delhi</w:t>
      </w:r>
    </w:p>
    <w:p>
      <w:pPr>
        <w:pStyle w:val="FirstParagraph"/>
      </w:pPr>
      <w:r>
        <w:t xml:space="preserve">Challenge Area</w:t>
      </w:r>
    </w:p>
    <w:p>
      <w:pPr>
        <w:pStyle w:val="BodyText"/>
      </w:pPr>
      <w:r>
        <w:t xml:space="preserve">Description for India New Delhi Context</w:t>
      </w:r>
    </w:p>
    <w:p>
      <w:pPr>
        <w:pStyle w:val="BodyText"/>
      </w:pPr>
      <w:r>
        <w:t xml:space="preserve">Solution/Competency Required by Accountant</w:t>
      </w:r>
    </w:p>
    <w:p>
      <w:pPr>
        <w:pStyle w:val="BodyText"/>
      </w:pPr>
      <w:r>
        <w:t xml:space="preserve">Digital Compliance Mandates</w:t>
      </w:r>
    </w:p>
    <w:p>
      <w:pPr>
        <w:pStyle w:val="BodyText"/>
      </w:pPr>
      <w:r>
        <w:t xml:space="preserve">Mandatory e-invoicing and e-way bills for businesses in large metro cities like India New Delhi.</w:t>
      </w:r>
    </w:p>
    <w:p>
      <w:pPr>
        <w:pStyle w:val="BodyText"/>
      </w:pPr>
      <w:r>
        <w:t xml:space="preserve">Proficiency in ERP software (Tally Prime, SAP) and API integrations with GST portals.</w:t>
      </w:r>
    </w:p>
    <w:p>
      <w:pPr>
        <w:pStyle w:val="BodyText"/>
      </w:pPr>
      <w:r>
        <w:t xml:space="preserve">Audit Complexity</w:t>
      </w:r>
    </w:p>
    <w:p>
      <w:pPr>
        <w:pStyle w:val="BodyText"/>
      </w:pPr>
      <w:r>
        <w:t xml:space="preserve">High volume of government contracts and public sector undertakings (PSUs) in India New Delhi require detailed statutory audits.</w:t>
      </w:r>
    </w:p>
    <w:p>
      <w:pPr>
        <w:pStyle w:val="BodyText"/>
      </w:pPr>
      <w:r>
        <w:t xml:space="preserve">Strong knowledge of Auditing Standards (SAs) and forensic accounting techniques to detect discrepancies.</w:t>
      </w:r>
    </w:p>
    <w:p>
      <w:pPr>
        <w:pStyle w:val="BodyText"/>
      </w:pPr>
      <w:r>
        <w:t xml:space="preserve">Cash Economy Transition</w:t>
      </w:r>
    </w:p>
    <w:p>
      <w:pPr>
        <w:pStyle w:val="BodyText"/>
      </w:pPr>
      <w:r>
        <w:t xml:space="preserve">While decreasing, cash transactions still exist in smaller markets of India New Delhi like Chandni Chowk or Lajpat Nagar.</w:t>
      </w:r>
    </w:p>
    <w:p>
      <w:pPr>
        <w:pStyle w:val="BodyText"/>
      </w:pPr>
      <w:r>
        <w:t xml:space="preserve">Ability to reconcile bank statements with physical cash logs and advise on demonetization impacts or black money regulations.</w:t>
      </w:r>
    </w:p>
    <w:p>
      <w:pPr>
        <w:pStyle w:val="BodyText"/>
      </w:pPr>
      <w:r>
        <w:t xml:space="preserve">Talent Retention</w:t>
      </w:r>
    </w:p>
    <w:p>
      <w:pPr>
        <w:pStyle w:val="BodyText"/>
      </w:pPr>
      <w:r>
        <w:t xml:space="preserve">High turnover in junior accounting firms in India New Delhi due to intense competition from Bangalore/Gurgaon.</w:t>
      </w:r>
    </w:p>
    <w:p>
      <w:pPr>
        <w:pStyle w:val="BodyText"/>
      </w:pPr>
      <w:r>
        <w:t xml:space="preserve">Implementing upskilling programs and adopting automated tools to reduce manual workload for staff.</w:t>
      </w:r>
    </w:p>
    <w:bookmarkEnd w:id="27"/>
    <w:bookmarkStart w:id="28" w:name="technological-integration"/>
    <w:p>
      <w:pPr>
        <w:pStyle w:val="Heading2"/>
      </w:pPr>
      <w:r>
        <w:t xml:space="preserve">6. Technological Integration</w:t>
      </w:r>
    </w:p>
    <w:p>
      <w:pPr>
        <w:pStyle w:val="FirstParagraph"/>
      </w:pPr>
      <w:r>
        <w:t xml:space="preserve">The Lab Report emphasizes that an</w:t>
      </w:r>
      <w:r>
        <w:t xml:space="preserve"> </w:t>
      </w:r>
      <w:r>
        <w:rPr>
          <w:bCs/>
          <w:b/>
        </w:rPr>
        <w:t xml:space="preserve">Accountant</w:t>
      </w:r>
      <w:r>
        <w:t xml:space="preserve"> </w:t>
      </w:r>
      <w:r>
        <w:t xml:space="preserve">in</w:t>
      </w:r>
    </w:p>
    <w:p>
      <w:pPr>
        <w:pStyle w:val="BodyText"/>
      </w:pPr>
      <w:r>
        <w:t xml:space="preserve">India New Delhi cannot rely solely on traditional methods. The adoption of cloud accounting, AI-driven fraud detection, and blockchain for supply chain transparency is increasing. Firms in areas like Cyber City (adjacent to Delhi NCR) and central business districts are leading this charge. An</w:t>
      </w:r>
      <w:r>
        <w:t xml:space="preserve"> </w:t>
      </w:r>
      <w:r>
        <w:rPr>
          <w:bCs/>
          <w:b/>
        </w:rPr>
        <w:t xml:space="preserve">Accountant</w:t>
      </w:r>
      <w:r>
        <w:t xml:space="preserve"> </w:t>
      </w:r>
      <w:r>
        <w:t xml:space="preserve">must demonstrate digital literacy to remain relevant in the</w:t>
      </w:r>
    </w:p>
    <w:p>
      <w:pPr>
        <w:pStyle w:val="BodyText"/>
      </w:pPr>
      <w:r>
        <w:t xml:space="preserve">India New Delhi market.</w:t>
      </w:r>
    </w:p>
    <w:bookmarkEnd w:id="28"/>
    <w:bookmarkStart w:id="29" w:name="X68f8e2bdcafe5b1c91ee82fdde6cb3d862a5b08"/>
    <w:p>
      <w:pPr>
        <w:pStyle w:val="Heading2"/>
      </w:pPr>
      <w:r>
        <w:t xml:space="preserve">7. Case Study: Compliance Audit of a Mid-Sized Enterprise in India New Delhi</w:t>
      </w:r>
    </w:p>
    <w:p>
      <w:pPr>
        <w:pStyle w:val="FirstParagraph"/>
      </w:pPr>
      <w:r>
        <w:t xml:space="preserve">To illustrate the practical application of these concepts, consider a hypothetical case study from this Lab Report. A manufacturing unit located in Okhla Industrial Estate,</w:t>
      </w:r>
    </w:p>
    <w:p>
      <w:pPr>
        <w:pStyle w:val="BodyText"/>
      </w:pPr>
      <w:r>
        <w:t xml:space="preserve">India New Delhi, faced penalties due to incorrect GST classifications. The assigned</w:t>
      </w:r>
      <w:r>
        <w:t xml:space="preserve"> </w:t>
      </w:r>
      <w:r>
        <w:rPr>
          <w:bCs/>
          <w:b/>
        </w:rPr>
        <w:t xml:space="preserve">Accountant</w:t>
      </w:r>
      <w:r>
        <w:t xml:space="preserve"> </w:t>
      </w:r>
      <w:r>
        <w:t xml:space="preserve">conducted a retrospective audit, identified errors in HSN code mapping for exported goods, and re-calculated input tax credits. Through diligent coordination with the jurisdictional tax officer in</w:t>
      </w:r>
    </w:p>
    <w:p>
      <w:pPr>
        <w:pStyle w:val="BodyText"/>
      </w:pPr>
      <w:r>
        <w:t xml:space="preserve">India New Delhi and submission of proper legal opinions, the firm managed to reduce the penalty by 40%. This case underscores the importance of specialized knowledge and proactive compliance management for an</w:t>
      </w:r>
      <w:r>
        <w:t xml:space="preserve"> </w:t>
      </w:r>
      <w:r>
        <w:rPr>
          <w:bCs/>
          <w:b/>
        </w:rPr>
        <w:t xml:space="preserve">Accountant</w:t>
      </w:r>
      <w:r>
        <w:t xml:space="preserve">.</w:t>
      </w:r>
    </w:p>
    <w:bookmarkEnd w:id="29"/>
    <w:bookmarkStart w:id="30" w:name="recommendations"/>
    <w:p>
      <w:pPr>
        <w:pStyle w:val="Heading2"/>
      </w:pPr>
      <w:r>
        <w:t xml:space="preserve">8. Recommendations</w:t>
      </w:r>
    </w:p>
    <w:p>
      <w:pPr>
        <w:pStyle w:val="FirstParagraph"/>
      </w:pPr>
      <w:r>
        <w:t xml:space="preserve">Accountant in</w:t>
      </w:r>
    </w:p>
    <w:p>
      <w:pPr>
        <w:pStyle w:val="BodyText"/>
      </w:pPr>
      <w:r>
        <w:t xml:space="preserve">India New Delhi:</w:t>
      </w:r>
    </w:p>
    <w:p>
      <w:pPr>
        <w:numPr>
          <w:ilvl w:val="0"/>
          <w:numId w:val="1001"/>
        </w:numPr>
        <w:pStyle w:val="Compact"/>
      </w:pPr>
      <w:r>
        <w:t xml:space="preserve">**Continuous Learning**: Regularly update knowledge on GST amendments and Income Tax circulars specific to Delhi NCR regions.</w:t>
      </w:r>
    </w:p>
    <w:p>
      <w:pPr>
        <w:numPr>
          <w:ilvl w:val="0"/>
          <w:numId w:val="1001"/>
        </w:numPr>
        <w:pStyle w:val="Compact"/>
      </w:pPr>
      <w:r>
        <w:t xml:space="preserve">**Technology Adoption**: Invest in certified accounting software that integrates seamlessly with government portals (GSTN, e-Filing).</w:t>
      </w:r>
    </w:p>
    <w:p>
      <w:pPr>
        <w:numPr>
          <w:ilvl w:val="0"/>
          <w:numId w:val="1001"/>
        </w:numPr>
        <w:pStyle w:val="Compact"/>
      </w:pPr>
      <w:r>
        <w:t xml:space="preserve">**Networking**: Engage with local chapters of ICAI in</w:t>
      </w:r>
    </w:p>
    <w:p>
      <w:pPr>
        <w:numPr>
          <w:ilvl w:val="0"/>
          <w:numId w:val="1000"/>
        </w:numPr>
        <w:pStyle w:val="Compact"/>
      </w:pPr>
      <w:r>
        <w:t xml:space="preserve">India New Delhi for peer support and best practice sharing.</w:t>
      </w:r>
    </w:p>
    <w:p>
      <w:pPr>
        <w:numPr>
          <w:ilvl w:val="0"/>
          <w:numId w:val="1001"/>
        </w:numPr>
        <w:pStyle w:val="Compact"/>
      </w:pPr>
      <w:r>
        <w:t xml:space="preserve">**Ethical Rigor**: Maintain absolute transparency to build trust with clients ranging from small startups in Hauz Khas to MNCs in Rajiv Gandhi Infotech Park.</w:t>
      </w:r>
    </w:p>
    <w:bookmarkEnd w:id="30"/>
    <w:bookmarkStart w:id="31" w:name="conclusion"/>
    <w:p>
      <w:pPr>
        <w:pStyle w:val="Heading2"/>
      </w:pPr>
      <w:r>
        <w:t xml:space="preserve">9. Conclusion</w:t>
      </w:r>
    </w:p>
    <w:p>
      <w:pPr>
        <w:pStyle w:val="FirstParagraph"/>
      </w:pPr>
      <w:r>
        <w:t xml:space="preserve">In conclusion, this Lab Report affirms that the profession of an</w:t>
      </w:r>
      <w:r>
        <w:t xml:space="preserve"> </w:t>
      </w:r>
      <w:r>
        <w:rPr>
          <w:bCs/>
          <w:b/>
        </w:rPr>
        <w:t xml:space="preserve">Accountant</w:t>
      </w:r>
      <w:r>
        <w:t xml:space="preserve"> </w:t>
      </w:r>
      <w:r>
        <w:t xml:space="preserve">in</w:t>
      </w:r>
    </w:p>
    <w:p>
      <w:pPr>
        <w:pStyle w:val="BodyText"/>
      </w:pPr>
      <w:r>
        <w:t xml:space="preserve">India New Delhi is both challenging and rewarding. It requires a blend of technical expertise, regulatory vigilance, and technological adaptability. The unique economic landscape of</w:t>
      </w:r>
    </w:p>
    <w:p>
      <w:pPr>
        <w:pStyle w:val="BodyText"/>
      </w:pPr>
      <w:r>
        <w:t xml:space="preserve">India New Delhi demands accountants who are not just number crunchers but strategic partners in financial governance. As the city continues to grow as a commercial hub, the scope for professional accounting services will expand, requiring higher standards of competence and ethics from every practicing</w:t>
      </w:r>
    </w:p>
    <w:p>
      <w:pPr>
        <w:pStyle w:val="BodyText"/>
      </w:pPr>
      <w:r>
        <w:t xml:space="preserve">Accountant.</w:t>
      </w:r>
    </w:p>
    <w:p>
      <w:r>
        <w:pict>
          <v:rect style="width:0;height:1.5pt" o:hralign="center" o:hrstd="t" o:hr="t"/>
        </w:pict>
      </w:r>
    </w:p>
    <w:p>
      <w:pPr>
        <w:pStyle w:val="FirstParagraph"/>
      </w:pPr>
      <w:r>
        <w:t xml:space="preserve">© 2023 Financial Analysis Lab Report Series. All Rights Reserved. This document is for educational and informational purposes only regarding accounting standards in 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Accounting Services in India New Delhi</dc:title>
  <dc:creator/>
  <dc:language>en</dc:language>
  <cp:keywords/>
  <dcterms:created xsi:type="dcterms:W3CDTF">2026-07-29T13:24:56Z</dcterms:created>
  <dcterms:modified xsi:type="dcterms:W3CDTF">2026-07-29T13:24:56Z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