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Accounting</w:t>
      </w:r>
      <w:r>
        <w:t xml:space="preserve"> </w:t>
      </w:r>
      <w:r>
        <w:t xml:space="preserve">Practices</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30" w:name="Xe6a3659bd84bad3186a909293b0ba7339b03a43"/>
    <w:p>
      <w:pPr>
        <w:pStyle w:val="Heading1"/>
      </w:pPr>
      <w:r>
        <w:t xml:space="preserve">Laboratory Report: Analysis of Accounting Protocols for Accountant Roles in Japan, Kyoto</w:t>
      </w:r>
    </w:p>
    <w:bookmarkStart w:id="20" w:name="date"/>
    <w:p>
      <w:pPr>
        <w:pStyle w:val="Heading2"/>
      </w:pPr>
      <w:r>
        <w:t xml:space="preserve">Date:</w:t>
      </w:r>
    </w:p>
    <w:p>
      <w:pPr>
        <w:pStyle w:val="FirstParagraph"/>
      </w:pPr>
      <w:r>
        <w:t xml:space="preserve">October 26, 2023</w:t>
      </w:r>
    </w:p>
    <w:bookmarkEnd w:id="20"/>
    <w:bookmarkStart w:id="21" w:name="to"/>
    <w:p>
      <w:pPr>
        <w:pStyle w:val="Heading2"/>
      </w:pPr>
      <w:r>
        <w:t xml:space="preserve">To:</w:t>
      </w:r>
    </w:p>
    <w:p>
      <w:pPr>
        <w:pStyle w:val="FirstParagraph"/>
      </w:pPr>
      <w:r>
        <w:t xml:space="preserve">The Regional Financial Compliance Committee</w:t>
      </w:r>
      <w:r>
        <w:br/>
      </w:r>
      <w:r>
        <w:rPr>
          <w:bCs/>
          <w:b/>
        </w:rPr>
        <w:t xml:space="preserve">Cc:</w:t>
      </w:r>
      <w:r>
        <w:t xml:space="preserve"> </w:t>
      </w:r>
      <w:r>
        <w:t xml:space="preserve">Kyoto Municipal Tax Office; The Institute of Japanese Accountancy Standards.</w:t>
      </w:r>
      <w:r>
        <w:t xml:space="preserve"> </w:t>
      </w:r>
      <w:r>
        <w:rPr>
          <w:bCs/>
          <w:b/>
        </w:rPr>
        <w:t xml:space="preserve">Subject:</w:t>
      </w:r>
      <w:r>
        <w:t xml:space="preserve"> </w:t>
      </w:r>
      <w:r>
        <w:t xml:space="preserve">A Comprehensive Study on the Operational Frameworks, Legal Requirements, and Cultural Nuances Expected of an Accountant operating within the historic and regulatory context of Kyoto, Japan.</w:t>
      </w:r>
    </w:p>
    <w:bookmarkEnd w:id="21"/>
    <w:bookmarkStart w:id="22" w:name="executive-summary"/>
    <w:p>
      <w:pPr>
        <w:pStyle w:val="Heading2"/>
      </w:pPr>
      <w:r>
        <w:t xml:space="preserve">1. Executive Summary</w:t>
      </w:r>
    </w:p>
    <w:p>
      <w:pPr>
        <w:pStyle w:val="FirstParagraph"/>
      </w:pPr>
      <w:r>
        <w:t xml:space="preserve">This laboratory report provides a detailed examination into the professional standards required for an Accountant in the specific geographic and cultural jurisdiction of Japan, with a particular focus on Kyoto Prefecture. The objective is to dissect the unique intersection between national Japanese accounting laws (Japanese GAAP) and local municipal expectations. As Kyoto serves as both a primary tourism hub and a center for traditional commerce, this report highlights how an Accountant must adapt to diverse business models ranging from high-tech startups in Kyoto Station area to centuries-old family-run shops (Iemoto systems). The findings suggest that technical proficiency in Japanese GAAP is merely the baseline; successful integration requires deep cultural intelligence regarding seasonal financial cycles tied to Kyoto’s tourism and a strict adherence to hierarchical communication styles.</w:t>
      </w:r>
    </w:p>
    <w:bookmarkEnd w:id="22"/>
    <w:bookmarkStart w:id="23" w:name="introduction"/>
    <w:p>
      <w:pPr>
        <w:pStyle w:val="Heading2"/>
      </w:pPr>
      <w:r>
        <w:t xml:space="preserve">2. Introduction</w:t>
      </w:r>
    </w:p>
    <w:p>
      <w:pPr>
        <w:pStyle w:val="FirstParagraph"/>
      </w:pPr>
      <w:r>
        <w:t xml:space="preserve">The role of an Accountant is universally recognized as the guardian of financial integrity. However, when this role is situated within Japan, specifically in Kyoto, it transforms into a complex interdisciplinary task involving legal compliance, cultural negotiation, and strategic advisory services. This laboratory report aims to isolate the variables that define success for an Accountant in this region.</w:t>
      </w:r>
    </w:p>
    <w:p>
      <w:pPr>
        <w:pStyle w:val="BodyText"/>
      </w:pPr>
      <w:r>
        <w:t xml:space="preserve">Japan operates on a distinct fiscal framework known as Japanese GAAP (Generally Accepted Accounting Principles), which differs significantly from International Financial Reporting Standards (IFRS). Furthermore, Kyoto presents unique challenges. As the former capital of Japan, it hosts a high concentration of small-to-medium enterprises (SMEs) that have been in operation for over 100 years. These entities often rely on informal accounting practices that clash with modern regulatory requirements. Therefore, the Accountant in this context acts not only as a recorder of transactions but also as a modernizer and educator.</w:t>
      </w:r>
    </w:p>
    <w:bookmarkEnd w:id="23"/>
    <w:bookmarkStart w:id="24" w:name="legal-and-regulatory-framework"/>
    <w:p>
      <w:pPr>
        <w:pStyle w:val="Heading2"/>
      </w:pPr>
      <w:r>
        <w:t xml:space="preserve">3. Legal and Regulatory Framework</w:t>
      </w:r>
    </w:p>
    <w:p>
      <w:pPr>
        <w:pStyle w:val="FirstParagraph"/>
      </w:pPr>
      <w:r>
        <w:t xml:space="preserve">The primary mandate for any Accountant operating in Kyoto is strict compliance with national laws enforced by the Ministry of Justice (MOJ) and the National Tax Agency (NTA). These include:</w:t>
      </w:r>
    </w:p>
    <w:p>
      <w:pPr>
        <w:numPr>
          <w:ilvl w:val="0"/>
          <w:numId w:val="1001"/>
        </w:numPr>
        <w:pStyle w:val="Compact"/>
      </w:pPr>
      <w:r>
        <w:rPr>
          <w:bCs/>
          <w:b/>
        </w:rPr>
        <w:t xml:space="preserve">Firms Act (Ho Jin Ho):</w:t>
      </w:r>
      <w:r>
        <w:t xml:space="preserve"> </w:t>
      </w:r>
      <w:r>
        <w:t xml:space="preserve">Governs corporate structures. Accountants must ensure proper registration and maintenance of corporate seals (Hanko), which are still legally significant in Japan.</w:t>
      </w:r>
    </w:p>
    <w:p>
      <w:pPr>
        <w:numPr>
          <w:ilvl w:val="0"/>
          <w:numId w:val="1001"/>
        </w:numPr>
        <w:pStyle w:val="Compact"/>
      </w:pPr>
      <w:r>
        <w:rPr>
          <w:bCs/>
          <w:b/>
        </w:rPr>
        <w:t xml:space="preserve">Tax Code:</w:t>
      </w:r>
      <w:r>
        <w:t xml:space="preserve"> </w:t>
      </w:r>
      <w:r>
        <w:t xml:space="preserve">Includes Corporate Tax, Consumption Tax (currently 10%), and Inheritance Tax. The rate for Consumption Tax is critical for Kyoto’s retail sector due to high tourist volume.</w:t>
      </w:r>
    </w:p>
    <w:p>
      <w:pPr>
        <w:numPr>
          <w:ilvl w:val="0"/>
          <w:numId w:val="1001"/>
        </w:numPr>
        <w:pStyle w:val="Compact"/>
      </w:pPr>
      <w:r>
        <w:rPr>
          <w:bCs/>
          <w:b/>
        </w:rPr>
        <w:t xml:space="preserve">Labor Standards Act:</w:t>
      </w:r>
      <w:r>
        <w:t xml:space="preserve"> </w:t>
      </w:r>
      <w:r>
        <w:t xml:space="preserve">Strict overtime regulations are enforced. An Accountant must meticulously track hours to avoid penalties.</w:t>
      </w:r>
    </w:p>
    <w:bookmarkEnd w:id="24"/>
    <w:bookmarkStart w:id="25" w:name="local-context-the-kyoto-specificity"/>
    <w:p>
      <w:pPr>
        <w:pStyle w:val="Heading2"/>
      </w:pPr>
      <w:r>
        <w:t xml:space="preserve">4. Local Context: The Kyoto Specificity</w:t>
      </w:r>
    </w:p>
    <w:p>
      <w:pPr>
        <w:pStyle w:val="FirstParagraph"/>
      </w:pPr>
      <w:r>
        <w:t xml:space="preserve">Kyoto’s economic landscape is distinct from Tokyo or Osaka. The following factors heavily influence the duties of an Accountant:</w:t>
      </w:r>
    </w:p>
    <w:p>
      <w:pPr>
        <w:numPr>
          <w:ilvl w:val="0"/>
          <w:numId w:val="1002"/>
        </w:numPr>
        <w:pStyle w:val="Compact"/>
      </w:pPr>
      <w:r>
        <w:rPr>
          <w:bCs/>
          <w:b/>
        </w:rPr>
        <w:t xml:space="preserve">Tourism Seasonality:</w:t>
      </w:r>
      <w:r>
        <w:t xml:space="preserve"> </w:t>
      </w:r>
      <w:r>
        <w:t xml:space="preserve">Kyoto experiences massive influxes during Cherry Blossom season (Sakura) and Autumn foliage (Koyo). An Accountant must manage cash flow fluctuations that are more extreme than in other Japanese prefectures. Revenue recognition timing is crucial here.</w:t>
      </w:r>
    </w:p>
    <w:p>
      <w:pPr>
        <w:numPr>
          <w:ilvl w:val="0"/>
          <w:numId w:val="1002"/>
        </w:numPr>
        <w:pStyle w:val="Compact"/>
      </w:pPr>
      <w:r>
        <w:rPr>
          <w:bCs/>
          <w:b/>
        </w:rPr>
        <w:t xml:space="preserve">Traditional Commerce (Chonaigai):</w:t>
      </w:r>
      <w:r>
        <w:t xml:space="preserve"> </w:t>
      </w:r>
      <w:r>
        <w:t xml:space="preserve">Many shops in districts like Gion or Nishiki Market operate with multi-generational staff. Digitization of accounting records is often resisted. The Accountant must introduce cloud-based software (like Freee or Money Forward) while maintaining the trust of elder owners.</w:t>
      </w:r>
    </w:p>
    <w:p>
      <w:pPr>
        <w:numPr>
          <w:ilvl w:val="0"/>
          <w:numId w:val="1002"/>
        </w:numPr>
        <w:pStyle w:val="Compact"/>
      </w:pPr>
      <w:r>
        <w:rPr>
          <w:bCs/>
          <w:b/>
        </w:rPr>
        <w:t xml:space="preserve">Local Subsidies:</w:t>
      </w:r>
      <w:r>
        <w:t xml:space="preserve"> </w:t>
      </w:r>
      <w:r>
        <w:t xml:space="preserve">The Kyoto Prefectural Government offers various subsidies for SMEs adopting digital transformation. An Accountant acts as a grant writer and compliance officer to secure these funds, directly impacting client profitability.</w:t>
      </w:r>
    </w:p>
    <w:bookmarkEnd w:id="25"/>
    <w:bookmarkStart w:id="26" w:name="methodology-of-operation"/>
    <w:p>
      <w:pPr>
        <w:pStyle w:val="Heading2"/>
      </w:pPr>
      <w:r>
        <w:t xml:space="preserve">5. Methodology of Operation</w:t>
      </w:r>
    </w:p>
    <w:p>
      <w:pPr>
        <w:pStyle w:val="FirstParagraph"/>
      </w:pPr>
      <w:r>
        <w:t xml:space="preserve">To determine the optimal workflow for an Accountant in this region, we analyzed three case studies:</w:t>
      </w:r>
    </w:p>
    <w:p>
      <w:pPr>
        <w:numPr>
          <w:ilvl w:val="0"/>
          <w:numId w:val="1003"/>
        </w:numPr>
        <w:pStyle w:val="Compact"/>
      </w:pPr>
      <w:r>
        <w:rPr>
          <w:bCs/>
          <w:b/>
        </w:rPr>
        <w:t xml:space="preserve">Case A:</w:t>
      </w:r>
      <w:r>
        <w:t xml:space="preserve"> </w:t>
      </w:r>
      <w:r>
        <w:t xml:space="preserve">A traditional Machiya renovation company.</w:t>
      </w:r>
    </w:p>
    <w:p>
      <w:pPr>
        <w:numPr>
          <w:ilvl w:val="0"/>
          <w:numId w:val="1003"/>
        </w:numPr>
        <w:pStyle w:val="Compact"/>
      </w:pPr>
      <w:r>
        <w:rPr>
          <w:bCs/>
          <w:b/>
        </w:rPr>
        <w:t xml:space="preserve">Case B:</w:t>
      </w:r>
      <w:r>
        <w:t xml:space="preserve"> </w:t>
      </w:r>
      <w:r>
        <w:t xml:space="preserve">A tech startup based at Kyoto Station.</w:t>
      </w:r>
    </w:p>
    <w:p>
      <w:pPr>
        <w:numPr>
          <w:ilvl w:val="0"/>
          <w:numId w:val="1003"/>
        </w:numPr>
        <w:pStyle w:val="Compact"/>
      </w:pPr>
      <w:r>
        <w:t xml:space="preserve">Case C:A ryokan (traditional inn) in Higashiyama District.</w:t>
      </w:r>
    </w:p>
    <w:p>
      <w:pPr>
        <w:pStyle w:val="FirstParagraph"/>
      </w:pPr>
      <w:r>
        <w:t xml:space="preserve">The analysis revealed that regardless of sector, the following steps are mandatory for an Accountant:</w:t>
      </w:r>
    </w:p>
    <w:p>
      <w:pPr>
        <w:numPr>
          <w:ilvl w:val="0"/>
          <w:numId w:val="1004"/>
        </w:numPr>
        <w:pStyle w:val="Compact"/>
      </w:pPr>
      <w:r>
        <w:rPr>
          <w:bCs/>
          <w:b/>
        </w:rPr>
        <w:t xml:space="preserve">Data Collection via Hanko Verification:</w:t>
      </w:r>
      <w:r>
        <w:t xml:space="preserve"> </w:t>
      </w:r>
      <w:r>
        <w:t xml:space="preserve">Even in digital systems, the physical or digital signature approval chain must mirror traditional hierarchy.</w:t>
      </w:r>
    </w:p>
    <w:p>
      <w:pPr>
        <w:numPr>
          <w:ilvl w:val="0"/>
          <w:numId w:val="1004"/>
        </w:numPr>
        <w:pStyle w:val="Compact"/>
      </w:pPr>
      <w:r>
        <w:t xml:space="preserve">Tax Provisioning for Consumption Tax Refunds: Since many Kyoto businesses serve foreign tourists who claim tax exemptions, the Accountant must accurately separate taxable vs. non-taxable revenue streams to prevent audits.</w:t>
      </w:r>
    </w:p>
    <w:p>
      <w:pPr>
        <w:numPr>
          <w:ilvl w:val="0"/>
          <w:numId w:val="1004"/>
        </w:numPr>
        <w:pStyle w:val="Compact"/>
      </w:pPr>
      <w:r>
        <w:rPr>
          <w:bCs/>
          <w:b/>
        </w:rPr>
        <w:t xml:space="preserve">Cultural Reporting:</w:t>
      </w:r>
      <w:r>
        <w:t xml:space="preserve"> </w:t>
      </w:r>
      <w:r>
        <w:t xml:space="preserve">Financial reports in Japan are often presented verbally before being submitted digitally. The Accountant must prepare presentations that respect seniority levels within the client’s organization.</w:t>
      </w:r>
    </w:p>
    <w:bookmarkEnd w:id="26"/>
    <w:bookmarkStart w:id="27" w:name="challenges-and-mitigation-strategies"/>
    <w:p>
      <w:pPr>
        <w:pStyle w:val="Heading2"/>
      </w:pPr>
      <w:r>
        <w:t xml:space="preserve">6. Challenges and Mitigation Strategies</w:t>
      </w:r>
    </w:p>
    <w:p>
      <w:pPr>
        <w:pStyle w:val="FirstParagraph"/>
      </w:pPr>
      <w:r>
        <w:rPr>
          <w:bCs/>
          <w:b/>
        </w:rPr>
        <w:t xml:space="preserve">Language Barrier:</w:t>
      </w:r>
      <w:r>
        <w:t xml:space="preserve"> </w:t>
      </w:r>
      <w:r>
        <w:t xml:space="preserve">While English is spoken in tourist areas, all tax documents are in Japanese. An Accountant must either be fluent or work with bilingual support. Misinterpretation of legal terms like "Nouzei" (Tax) vs "Kinmu" (Fees) can lead to severe penalties.</w:t>
      </w:r>
    </w:p>
    <w:p>
      <w:pPr>
        <w:pStyle w:val="BodyText"/>
      </w:pPr>
      <w:r>
        <w:rPr>
          <w:bCs/>
          <w:b/>
        </w:rPr>
        <w:t xml:space="preserve">Labor Shortage:</w:t>
      </w:r>
      <w:r>
        <w:t xml:space="preserve"> </w:t>
      </w:r>
      <w:r>
        <w:t xml:space="preserve">Kyoto faces a demographic crisis similar to the rest of Japan. Accountants often find themselves doing HR compliance work in addition to finance. Mitigation involves automating payroll systems early in the engagement.</w:t>
      </w:r>
    </w:p>
    <w:p>
      <w:pPr>
        <w:pStyle w:val="BodyText"/>
      </w:pPr>
      <w:r>
        <w:rPr>
          <w:bCs/>
          <w:b/>
        </w:rPr>
        <w:t xml:space="preserve">Cultural Sensitivity:</w:t>
      </w:r>
      <w:r>
        <w:t xml:space="preserve"> </w:t>
      </w:r>
      <w:r>
        <w:t xml:space="preserve">Direct criticism of past financial errors is considered "face-threatening." An Accountant must frame corrections as "optimizations for future growth" rather than "fixing mistakes."</w:t>
      </w:r>
    </w:p>
    <w:bookmarkEnd w:id="27"/>
    <w:bookmarkStart w:id="28" w:name="conclusion"/>
    <w:p>
      <w:pPr>
        <w:pStyle w:val="Heading2"/>
      </w:pPr>
      <w:r>
        <w:t xml:space="preserve">7. Conclusion</w:t>
      </w:r>
    </w:p>
    <w:p>
      <w:pPr>
        <w:pStyle w:val="FirstParagraph"/>
      </w:pPr>
      <w:r>
        <w:t xml:space="preserve">The role of an Accountant in Japan, Kyoto, extends far beyond number-crunching. It is a position of cultural mediation and legal stewardship. Success in this region requires a hybrid skill set: deep expertise in Japanese GAAP, familiarity with local tourism-driven cash flows, and the soft skills to navigate hierarchical business cultures.</w:t>
      </w:r>
    </w:p>
    <w:p>
      <w:pPr>
        <w:pStyle w:val="BodyText"/>
      </w:pPr>
      <w:r>
        <w:t xml:space="preserve">We recommend that any Accountant seeking employment or consultancy opportunities in Kyoto undergo specific training on "Kyoto Business Etiquette" and obtain certification in Japanese Tax Law. Furthermore, establishing relationships with local district chambers of commerce is vital for understanding micro-regional variations in enforcement.</w:t>
      </w:r>
    </w:p>
    <w:bookmarkEnd w:id="28"/>
    <w:bookmarkStart w:id="29" w:name="references"/>
    <w:p>
      <w:pPr>
        <w:pStyle w:val="Heading2"/>
      </w:pPr>
      <w:r>
        <w:t xml:space="preserve">8. References</w:t>
      </w:r>
    </w:p>
    <w:p>
      <w:pPr>
        <w:numPr>
          <w:ilvl w:val="0"/>
          <w:numId w:val="1005"/>
        </w:numPr>
        <w:pStyle w:val="Compact"/>
      </w:pPr>
      <w:r>
        <w:t xml:space="preserve">Ministry of Finance Japan. (2023). Japanese GAAP Update.</w:t>
      </w:r>
    </w:p>
    <w:p>
      <w:pPr>
        <w:numPr>
          <w:ilvl w:val="0"/>
          <w:numId w:val="1005"/>
        </w:numPr>
        <w:pStyle w:val="Compact"/>
      </w:pPr>
      <w:r>
        <w:t xml:space="preserve">Kyoto Prefectural Government. (2023). SME Digitalization Support Guidelines.</w:t>
      </w:r>
    </w:p>
    <w:p>
      <w:pPr>
        <w:numPr>
          <w:ilvl w:val="0"/>
          <w:numId w:val="1005"/>
        </w:numPr>
        <w:pStyle w:val="Compact"/>
      </w:pPr>
      <w:r>
        <w:t xml:space="preserve">National Tax Agency. (2023). Consumption Tax Manual for Foreign Tourist Sectors.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Accounting Practices in Japan, Kyoto</dc:title>
  <dc:creator/>
  <dc:language>en</dc:language>
  <cp:keywords/>
  <dcterms:created xsi:type="dcterms:W3CDTF">2026-07-29T13:04:59Z</dcterms:created>
  <dcterms:modified xsi:type="dcterms:W3CDTF">2026-07-29T13:04:59Z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