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Accountant</w:t>
      </w:r>
      <w:r>
        <w:t xml:space="preserve"> </w:t>
      </w:r>
      <w:r>
        <w:t xml:space="preserve">Roles</w:t>
      </w:r>
      <w:r>
        <w:t xml:space="preserve"> </w:t>
      </w:r>
      <w:r>
        <w:t xml:space="preserve">in</w:t>
      </w:r>
      <w:r>
        <w:t xml:space="preserve"> </w:t>
      </w:r>
      <w:r>
        <w:t xml:space="preserve">Kazakhstan</w:t>
      </w:r>
      <w:r>
        <w:t xml:space="preserve"> </w:t>
      </w:r>
      <w:r>
        <w:t xml:space="preserve">Almaty</w:t>
      </w:r>
    </w:p>
    <w:bookmarkStart w:id="20" w:name="laboratory-report"/>
    <w:p>
      <w:pPr>
        <w:pStyle w:val="Heading1"/>
      </w:pPr>
      <w:r>
        <w:t xml:space="preserve">Laboratory Report</w:t>
      </w:r>
    </w:p>
    <w:p>
      <w:pPr>
        <w:pStyle w:val="FirstParagraph"/>
      </w:pPr>
      <w:r>
        <w:rPr>
          <w:bCs/>
          <w:b/>
        </w:rPr>
        <w:t xml:space="preserve">Title:</w:t>
      </w:r>
    </w:p>
    <w:p>
      <w:pPr>
        <w:pStyle w:val="BodyText"/>
      </w:pPr>
      <w:r>
        <w:rPr>
          <w:iCs/>
          <w:i/>
        </w:rPr>
        <w:t xml:space="preserve">A Comprehensive Operational Audit and Role Analysis of the Accountant Function within the Economic Ecosystem of Kazakhstan Almaty.</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Location:</w:t>
      </w:r>
    </w:p>
    <w:p>
      <w:pPr>
        <w:numPr>
          <w:ilvl w:val="0"/>
          <w:numId w:val="1001"/>
        </w:numPr>
        <w:pStyle w:val="Compact"/>
      </w:pPr>
      <w:r>
        <w:t xml:space="preserve">Kazakhstan Almaty</w:t>
      </w:r>
    </w:p>
    <w:p>
      <w:pPr>
        <w:pStyle w:val="FirstParagraph"/>
      </w:pPr>
      <w:r>
        <w:br/>
      </w:r>
    </w:p>
    <w:bookmarkEnd w:id="20"/>
    <w:bookmarkStart w:id="21" w:name="introduction-and-objective"/>
    <w:p>
      <w:pPr>
        <w:pStyle w:val="Heading2"/>
      </w:pPr>
      <w:r>
        <w:t xml:space="preserve">1.0 Introduction and Objective</w:t>
      </w:r>
    </w:p>
    <w:p>
      <w:pPr>
        <w:pStyle w:val="FirstParagraph"/>
      </w:pPr>
      <w:r>
        <w:t xml:space="preserve">The purpose of this laboratory report is to analyze the operational dynamics, regulatory compliance requirements, and professional competencies required of an Accountant working within the specific economic jurisdiction of</w:t>
      </w:r>
      <w:r>
        <w:t xml:space="preserve"> </w:t>
      </w:r>
      <w:r>
        <w:t xml:space="preserve">Kazakhstan Almaty</w:t>
      </w:r>
      <w:r>
        <w:t xml:space="preserve">. As the largest city in Kazakhstan and a major financial hub, Almaty presents a unique set of fiscal challenges and opportunities that differ significantly from other regions or international standards.</w:t>
      </w:r>
    </w:p>
    <w:p>
      <w:pPr>
        <w:pStyle w:val="BodyText"/>
      </w:pPr>
      <w:r>
        <w:t xml:space="preserve">This report serves as an analytical "lab" for understanding how modern accounting practices intersect with local legislative frameworks, particularly the Tax Code of the Republic of Kazakhstan. The primary objective is to define the exact scope of work for an Accountant in this region, emphasizing precision in tax reporting, adherence to national standards (NSAU/IFRS), and digital integration.</w:t>
      </w:r>
    </w:p>
    <w:bookmarkEnd w:id="21"/>
    <w:bookmarkStart w:id="24" w:name="Xf673c49728901ea7fe3c576d08a8dd33e9a2180"/>
    <w:p>
      <w:pPr>
        <w:pStyle w:val="Heading2"/>
      </w:pPr>
      <w:r>
        <w:t xml:space="preserve">2.0 Regulatory Framework: The Legal Environment</w:t>
      </w:r>
    </w:p>
    <w:p>
      <w:pPr>
        <w:pStyle w:val="FirstParagraph"/>
      </w:pPr>
      <w:r>
        <w:t xml:space="preserve">The role of the Accountant in Kazakhstan Almaty cannot be understood without a rigorous examination of the legal framework governing financial reporting. Unlike static international roles, this position requires real-time adaptation to frequent legislative updates issued by the Committee for Financial Monitoring and Tax Issues under the Ministry of Finance.</w:t>
      </w:r>
    </w:p>
    <w:bookmarkStart w:id="22" w:name="national-standards-vs.-ifrs"/>
    <w:p>
      <w:pPr>
        <w:pStyle w:val="Heading3"/>
      </w:pPr>
      <w:r>
        <w:t xml:space="preserve">2.1 National Standards vs. IFRS</w:t>
      </w:r>
    </w:p>
    <w:p>
      <w:pPr>
        <w:pStyle w:val="FirstParagraph"/>
      </w:pPr>
      <w:r>
        <w:t xml:space="preserve">In Kazakhstan Almaty, large enterprises and listed companies are mandated to prepare financial statements in accordance with International Financial Reporting Standards (IFRS). However, small and medium-sized enterprises (SMEs), which constitute the backbone of the local economy, typically follow National Standards of Accounting (NSAU). An Accountant must possess dual competency: the ability to manage complex IFRS ledgers for multinational subsidiaries while simultaneously handling simplified NSAU compliance for local partners.</w:t>
      </w:r>
    </w:p>
    <w:bookmarkEnd w:id="22"/>
    <w:bookmarkStart w:id="23" w:name="the-tax-code-implications"/>
    <w:p>
      <w:pPr>
        <w:pStyle w:val="Heading3"/>
      </w:pPr>
      <w:r>
        <w:t xml:space="preserve">2.2 The Tax Code Implications</w:t>
      </w:r>
    </w:p>
    <w:p>
      <w:pPr>
        <w:pStyle w:val="FirstParagraph"/>
      </w:pPr>
      <w:r>
        <w:t xml:space="preserve">The core responsibility of an Accountant in this region is tax compliance. This involves strict adherence to the Tax Code of Kazakhstan, which dictates various levies, including:</w:t>
      </w:r>
    </w:p>
    <w:p>
      <w:pPr>
        <w:numPr>
          <w:ilvl w:val="0"/>
          <w:numId w:val="1002"/>
        </w:numPr>
        <w:pStyle w:val="Compact"/>
      </w:pPr>
      <w:r>
        <w:rPr>
          <w:bCs/>
          <w:b/>
        </w:rPr>
        <w:t xml:space="preserve">VAT (Value Added Tax):</w:t>
      </w:r>
      <w:r>
        <w:t xml:space="preserve"> </w:t>
      </w:r>
      <w:r>
        <w:t xml:space="preserve">Typically 12%. The Accountant must meticulously manage input and output credits.</w:t>
      </w:r>
    </w:p>
    <w:p>
      <w:pPr>
        <w:numPr>
          <w:ilvl w:val="0"/>
          <w:numId w:val="1002"/>
        </w:numPr>
        <w:pStyle w:val="Compact"/>
      </w:pPr>
      <w:r>
        <w:rPr>
          <w:bCs/>
          <w:b/>
        </w:rPr>
        <w:t xml:space="preserve">CIT (Corporate Income Tax):</w:t>
      </w:r>
      <w:r>
        <w:t xml:space="preserve"> </w:t>
      </w:r>
      <w:r>
        <w:t xml:space="preserve">Generally 20% for resident entities.</w:t>
      </w:r>
    </w:p>
    <w:p>
      <w:pPr>
        <w:numPr>
          <w:ilvl w:val="0"/>
          <w:numId w:val="1002"/>
        </w:numPr>
        <w:pStyle w:val="Compact"/>
      </w:pPr>
      <w:r>
        <w:rPr>
          <w:bCs/>
          <w:b/>
        </w:rPr>
        <w:t xml:space="preserve">Social Payments:</w:t>
      </w:r>
      <w:r>
        <w:t xml:space="preserve"> </w:t>
      </w:r>
      <w:r>
        <w:t xml:space="preserve">Mandatory contributions to the pension fund and social insurance, requiring precise payroll calculations by the Accountant.</w:t>
      </w:r>
    </w:p>
    <w:p>
      <w:pPr>
        <w:pStyle w:val="FirstParagraph"/>
      </w:pPr>
      <w:r>
        <w:br/>
      </w:r>
    </w:p>
    <w:bookmarkEnd w:id="23"/>
    <w:bookmarkEnd w:id="24"/>
    <w:bookmarkStart w:id="27" w:name="methodology-daily-operational-procedures"/>
    <w:p>
      <w:pPr>
        <w:pStyle w:val="Heading2"/>
      </w:pPr>
      <w:r>
        <w:t xml:space="preserve">3.0 Methodology: Daily Operational Procedures</w:t>
      </w:r>
    </w:p>
    <w:p>
      <w:pPr>
        <w:pStyle w:val="FirstParagraph"/>
      </w:pPr>
      <w:r>
        <w:t xml:space="preserve">To observe the practical application of accounting principles in Kazakhstan Almaty, we have analyzed the workflow of a standard mid-level Accountant employed by a logistics firm operating across Southern Kazakhstan.</w:t>
      </w:r>
    </w:p>
    <w:bookmarkStart w:id="25" w:name="digital-integration-and-e-signatures"/>
    <w:p>
      <w:pPr>
        <w:pStyle w:val="Heading3"/>
      </w:pPr>
      <w:r>
        <w:t xml:space="preserve">3.1 Digital Integration and E-Signatures</w:t>
      </w:r>
    </w:p>
    <w:p>
      <w:pPr>
        <w:pStyle w:val="FirstParagraph"/>
      </w:pPr>
      <w:r>
        <w:t xml:space="preserve">A defining characteristic of accounting in modern Kazakhstan Almaty is the heavy reliance on digital infrastructure. The Accountant is required to utilize electronic document management systems (EDM) integrated with the state portal "eGov.kz". Physical paperwork has largely been replaced by qualified electronic signatures (QES). Consequently, a significant portion of this laboratory report's analysis focuses on cybersecurity and digital literacy as core professional skills.</w:t>
      </w:r>
    </w:p>
    <w:bookmarkEnd w:id="25"/>
    <w:bookmarkStart w:id="26" w:name="payroll-and-statutory-deductions"/>
    <w:p>
      <w:pPr>
        <w:pStyle w:val="Heading3"/>
      </w:pPr>
      <w:r>
        <w:t xml:space="preserve">3.2 Payroll and Statutory Deductions</w:t>
      </w:r>
    </w:p>
    <w:p>
      <w:pPr>
        <w:pStyle w:val="FirstParagraph"/>
      </w:pPr>
      <w:r>
        <w:t xml:space="preserve">The Accountant must calculate the Monthly Payment Index (MPI) accurately to determine social contributions. Errors in this calculation lead to severe penalties from the Tax Committee. The methodology involves:</w:t>
      </w:r>
    </w:p>
    <w:p>
      <w:pPr>
        <w:numPr>
          <w:ilvl w:val="0"/>
          <w:numId w:val="1003"/>
        </w:numPr>
        <w:pStyle w:val="Compact"/>
      </w:pPr>
      <w:r>
        <w:t xml:space="preserve">Gross salary calculation.</w:t>
      </w:r>
    </w:p>
    <w:p>
      <w:pPr>
        <w:numPr>
          <w:ilvl w:val="0"/>
          <w:numId w:val="1003"/>
        </w:numPr>
        <w:pStyle w:val="Compact"/>
      </w:pPr>
      <w:r>
        <w:t xml:space="preserve">Deduction of Individual Income Tax (10%).</w:t>
      </w:r>
    </w:p>
    <w:p>
      <w:pPr>
        <w:numPr>
          <w:ilvl w:val="0"/>
          <w:numId w:val="1003"/>
        </w:numPr>
        <w:pStyle w:val="Compact"/>
      </w:pPr>
      <w:r>
        <w:t xml:space="preserve">Calculation of Social Contributions (9.5% by employee, 3.5% by employer).</w:t>
      </w:r>
    </w:p>
    <w:p>
      <w:pPr>
        <w:pStyle w:val="FirstParagraph"/>
      </w:pPr>
      <w:r>
        <w:br/>
      </w:r>
    </w:p>
    <w:bookmarkEnd w:id="26"/>
    <w:bookmarkEnd w:id="27"/>
    <w:bookmarkStart w:id="30" w:name="X7b72be9d049432cc316057922596ff2c6001383"/>
    <w:p>
      <w:pPr>
        <w:pStyle w:val="Heading2"/>
      </w:pPr>
      <w:r>
        <w:t xml:space="preserve">4.0 Analysis: Key Challenges in the Almaty Market</w:t>
      </w:r>
    </w:p>
    <w:p>
      <w:pPr>
        <w:pStyle w:val="FirstParagraph"/>
      </w:pPr>
      <w:r>
        <w:t xml:space="preserve">The analysis reveals several distinct challenges specific to operating as an Accountant in Kazakhstan Almaty compared to other jurisdictions.</w:t>
      </w:r>
    </w:p>
    <w:bookmarkStart w:id="28" w:name="language-and-cultural-nuances"/>
    <w:p>
      <w:pPr>
        <w:pStyle w:val="Heading3"/>
      </w:pPr>
      <w:r>
        <w:t xml:space="preserve">4.1 Language and Cultural Nuances</w:t>
      </w:r>
    </w:p>
    <w:p>
      <w:pPr>
        <w:pStyle w:val="FirstParagraph"/>
      </w:pPr>
      <w:r>
        <w:t xml:space="preserve">Bilingual proficiency is mandatory. Financial documentation must be maintained in both Kazakh and Russian, with English serving as the tertiary language for international reporting. Misinterpretations in legal terminology between these languages can lead to catastrophic compliance errors.</w:t>
      </w:r>
    </w:p>
    <w:bookmarkEnd w:id="28"/>
    <w:bookmarkStart w:id="29" w:name="inflationary-pressures"/>
    <w:p>
      <w:pPr>
        <w:pStyle w:val="Heading3"/>
      </w:pPr>
      <w:r>
        <w:t xml:space="preserve">4.2 Inflationary Pressures</w:t>
      </w:r>
    </w:p>
    <w:p>
      <w:pPr>
        <w:pStyle w:val="FirstParagraph"/>
      </w:pPr>
      <w:r>
        <w:t xml:space="preserve">Economic volatility in Central Asia requires Accountants to employ dynamic forecasting models. The fluctuation of the tenge against major currencies necessitates rigorous hedging strategies and frequent revaluations of foreign currency accounts, a task heavily managed by senior Accountants.</w:t>
      </w:r>
    </w:p>
    <w:bookmarkEnd w:id="29"/>
    <w:bookmarkEnd w:id="30"/>
    <w:bookmarkStart w:id="31" w:name="results-competency-matrix"/>
    <w:p>
      <w:pPr>
        <w:pStyle w:val="Heading2"/>
      </w:pPr>
      <w:r>
        <w:t xml:space="preserve">5.0 Results: Competency Matrix</w:t>
      </w:r>
    </w:p>
    <w:p>
      <w:pPr>
        <w:pStyle w:val="FirstParagraph"/>
      </w:pPr>
      <w:r>
        <w:t xml:space="preserve">Based on the observations conducted in Kazakhstan Almaty, the following competency matrix has been established for a successful Accountant:</w:t>
      </w:r>
    </w:p>
    <w:p>
      <w:pPr>
        <w:numPr>
          <w:ilvl w:val="0"/>
          <w:numId w:val="1004"/>
        </w:numPr>
        <w:pStyle w:val="Compact"/>
      </w:pPr>
      <w:r>
        <w:rPr>
          <w:bCs/>
          <w:b/>
        </w:rPr>
        <w:t xml:space="preserve">Technical Proficiency:</w:t>
      </w:r>
      <w:r>
        <w:t xml:space="preserve"> </w:t>
      </w:r>
      <w:r>
        <w:t xml:space="preserve">Expertise in 1C:Enterprise software, which is the dominant ERP system in Kazakhstan Almaty.</w:t>
      </w:r>
    </w:p>
    <w:p>
      <w:pPr>
        <w:numPr>
          <w:ilvl w:val="0"/>
          <w:numId w:val="1004"/>
        </w:numPr>
        <w:pStyle w:val="Compact"/>
      </w:pPr>
      <w:r>
        <w:rPr>
          <w:bCs/>
          <w:b/>
        </w:rPr>
        <w:t xml:space="preserve">Tax Knowledge:</w:t>
      </w:r>
      <w:r>
        <w:t xml:space="preserve"> </w:t>
      </w:r>
      <w:r>
        <w:t xml:space="preserve">Up-to-date knowledge of quarterly tax returns and annual reconciliations.</w:t>
      </w:r>
    </w:p>
    <w:p>
      <w:pPr>
        <w:numPr>
          <w:ilvl w:val="0"/>
          <w:numId w:val="1004"/>
        </w:numPr>
        <w:pStyle w:val="Compact"/>
      </w:pPr>
      <w:r>
        <w:rPr>
          <w:bCs/>
          <w:b/>
        </w:rPr>
        <w:t xml:space="preserve">Auditing Skills:</w:t>
      </w:r>
      <w:r>
        <w:t xml:space="preserve"> </w:t>
      </w:r>
      <w:r>
        <w:t xml:space="preserve">Ability to prepare internal audit trails that satisfy local inspectorate requirements.</w:t>
      </w:r>
    </w:p>
    <w:p>
      <w:pPr>
        <w:pStyle w:val="FirstParagraph"/>
      </w:pPr>
      <w:r>
        <w:br/>
      </w:r>
    </w:p>
    <w:bookmarkEnd w:id="31"/>
    <w:bookmarkStart w:id="32" w:name="conclusion"/>
    <w:p>
      <w:pPr>
        <w:pStyle w:val="Heading2"/>
      </w:pPr>
      <w:r>
        <w:t xml:space="preserve">6.0 Conclusion</w:t>
      </w:r>
    </w:p>
    <w:p>
      <w:pPr>
        <w:pStyle w:val="FirstParagraph"/>
      </w:pPr>
      <w:r>
        <w:t xml:space="preserve">In conclusion, this laboratory report demonstrates that the role of an Accountant in Kazakhstan Almaty is far more complex than simple bookkeeping. It is a highly regulated, digital-first profession that requires deep legal knowledge and technical agility.</w:t>
      </w:r>
    </w:p>
    <w:p>
      <w:pPr>
        <w:pStyle w:val="BodyText"/>
      </w:pPr>
      <w:r>
        <w:t xml:space="preserve">The environment in Kazakhstan Almaty demands an Accountant who acts not just as a recorder of history, but as a strategic partner in ensuring regulatory survival. As the economic landscape of Southern Kazakhstan continues to grow through foreign direct investment and local startup activity, the sophistication required of Accountants will only increase. Future recommendations suggest increased focus on data analytics training within accounting curricula in Almaty to meet these evolving demands.</w:t>
      </w:r>
    </w:p>
    <w:p>
      <w:r>
        <w:pict>
          <v:rect style="width:0;height:1.5pt" o:hralign="center" o:hrstd="t" o:hr="t"/>
        </w:pict>
      </w:r>
    </w:p>
    <w:bookmarkEnd w:id="32"/>
    <w:bookmarkStart w:id="33" w:name="references"/>
    <w:p>
      <w:pPr>
        <w:pStyle w:val="Heading2"/>
      </w:pPr>
      <w:r>
        <w:t xml:space="preserve">7.0 References</w:t>
      </w:r>
    </w:p>
    <w:p>
      <w:pPr>
        <w:numPr>
          <w:ilvl w:val="0"/>
          <w:numId w:val="1005"/>
        </w:numPr>
        <w:pStyle w:val="Compact"/>
      </w:pPr>
      <w:r>
        <w:t xml:space="preserve">Tax Code of the Republic of Kazakhstan.</w:t>
      </w:r>
    </w:p>
    <w:p>
      <w:pPr>
        <w:numPr>
          <w:ilvl w:val="0"/>
          <w:numId w:val="1005"/>
        </w:numPr>
        <w:pStyle w:val="Compact"/>
      </w:pPr>
      <w:r>
        <w:t xml:space="preserve">National Standards on Accounting (NSAU).</w:t>
      </w:r>
    </w:p>
    <w:p>
      <w:pPr>
        <w:numPr>
          <w:ilvl w:val="0"/>
          <w:numId w:val="1005"/>
        </w:numPr>
        <w:pStyle w:val="Compact"/>
      </w:pPr>
      <w:r>
        <w:t xml:space="preserve">Central Bank of Kazakhstan Monetary Policy Reports.</w:t>
      </w:r>
    </w:p>
    <w:p>
      <w:pPr>
        <w:pStyle w:val="FirstParagraph"/>
      </w:pPr>
      <w:r>
        <w:br/>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Accountant Roles in Kazakhstan Almaty</dc:title>
  <dc:creator/>
  <dc:language>en</dc:language>
  <cp:keywords/>
  <dcterms:created xsi:type="dcterms:W3CDTF">2026-07-29T04:14:08Z</dcterms:created>
  <dcterms:modified xsi:type="dcterms:W3CDTF">2026-07-29T04:14:08Z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