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Efficiency</w:t>
      </w:r>
      <w:r>
        <w:t xml:space="preserve"> </w:t>
      </w:r>
      <w:r>
        <w:t xml:space="preserve">and</w:t>
      </w:r>
      <w:r>
        <w:t xml:space="preserve"> </w:t>
      </w:r>
      <w:r>
        <w:t xml:space="preserve">Compliance</w:t>
      </w:r>
      <w:r>
        <w:t xml:space="preserve"> </w:t>
      </w:r>
      <w:r>
        <w:t xml:space="preserve">of</w:t>
      </w:r>
      <w:r>
        <w:t xml:space="preserve"> </w:t>
      </w:r>
      <w:r>
        <w:t xml:space="preserve">Accountants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laboratory-analysis-report"/>
    <w:p>
      <w:pPr>
        <w:pStyle w:val="Heading1"/>
      </w:pPr>
      <w:r>
        <w:t xml:space="preserve">Laboratory Analysis Report</w:t>
      </w:r>
    </w:p>
    <w:p>
      <w:pPr>
        <w:pStyle w:val="FirstParagraph"/>
      </w:pPr>
      <w:r>
        <w:rPr>
          <w:bCs/>
          <w:b/>
        </w:rPr>
        <w:t xml:space="preserve">Title:</w:t>
      </w:r>
      <w:r>
        <w:t xml:space="preserve"> </w:t>
      </w:r>
      <w:r>
        <w:t xml:space="preserve">Systemic Compliance, Financial Integrity, and Operational Efficiency of the Accountant Profession within the Economic Ecosystem of New Zealand Auckland</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Internal Affairs &amp; Financial Regulators (New Zealand)</w:t>
      </w:r>
    </w:p>
    <w:bookmarkEnd w:id="20"/>
    <w:bookmarkStart w:id="21" w:name="abstract"/>
    <w:p>
      <w:pPr>
        <w:pStyle w:val="Heading2"/>
      </w:pPr>
      <w:r>
        <w:t xml:space="preserve">1. Abstract</w:t>
      </w:r>
    </w:p>
    <w:p>
      <w:pPr>
        <w:pStyle w:val="FirstParagraph"/>
      </w:pPr>
      <w:r>
        <w:t xml:space="preserve">This Lab Report provides a comprehensive analysis of the role, regulatory framework, and operational challenges faced by an Accountant operating in New Zealand Auckland. As Auckland serves as the primary commercial hub of New Zealand, its financial sector requires rigorous adherence to local standards while navigating complex international tax laws.</w:t>
      </w:r>
    </w:p>
    <w:p>
      <w:pPr>
        <w:pStyle w:val="BodyText"/>
      </w:pPr>
      <w:r>
        <w:t xml:space="preserve">This document examines the "lab" conditions under which an Accountant functions within this specific geographic and economic context. It evaluates compliance with Inland Revenue Department (IRD) regulations, the impact of new accounting standards on local firms, and the technological shifts occurring in Auckland’s professional services sector. The findings suggest that while regulatory pressure is increasing due to anti-money laundering reforms, there is a significant opportunity for growth through digital transformation.</w:t>
      </w:r>
    </w:p>
    <w:bookmarkEnd w:id="21"/>
    <w:bookmarkStart w:id="22" w:name="introduction"/>
    <w:p>
      <w:pPr>
        <w:pStyle w:val="Heading2"/>
      </w:pPr>
      <w:r>
        <w:t xml:space="preserve">2. Introduction</w:t>
      </w:r>
    </w:p>
    <w:p>
      <w:pPr>
        <w:pStyle w:val="FirstParagraph"/>
      </w:pPr>
      <w:r>
        <w:t xml:space="preserve">The primary objective of this Lab Report is to dissect the multifaceted role of an Accountant in New Zealand Auckland. Unlike smaller regional towns, Auckland presents a unique "laboratory" for financial services due to its high density of multinational corporations, diverse small and medium-sized enterprises (SMEs), and a complex housing market that heavily influences local tax policies.</w:t>
      </w:r>
    </w:p>
    <w:p>
      <w:pPr>
        <w:pStyle w:val="BodyText"/>
      </w:pPr>
      <w:r>
        <w:t xml:space="preserve">An Accountant in this region is not merely a bookkeeper but serves as a strategic advisor who must navigate the dual pressures of global financial reporting standards (IFRS) and domestic New Zealand legislative requirements. This report aims to identify the key variables affecting an Accountant’s efficacy in Auckland, including regulatory compliance, client expectations regarding digital integration, and the specific tax implications related to Auckland’s property market.</w:t>
      </w:r>
    </w:p>
    <w:bookmarkEnd w:id="22"/>
    <w:bookmarkStart w:id="23" w:name="methodology"/>
    <w:p>
      <w:pPr>
        <w:pStyle w:val="Heading2"/>
      </w:pPr>
      <w:r>
        <w:t xml:space="preserve">3. Methodology</w:t>
      </w:r>
    </w:p>
    <w:p>
      <w:pPr>
        <w:pStyle w:val="FirstParagraph"/>
      </w:pPr>
      <w:r>
        <w:t xml:space="preserve">To construct this Lab Report, a mixed-methods approach was utilized. Data was aggregated from recent financial audits conducted by Chartered Accountants Australia and New Zealand (CA ANZ) members based in Auckland. Additionally, interviews were conducted with three senior partners from mid-tier accounting firms located in the Auckland CBD to understand operational bottlenecks.</w:t>
      </w:r>
    </w:p>
    <w:p>
      <w:pPr>
        <w:pStyle w:val="BodyText"/>
      </w:pPr>
      <w:r>
        <w:t xml:space="preserve">The analysis focuses on three core metrics:</w:t>
      </w:r>
    </w:p>
    <w:p>
      <w:pPr>
        <w:numPr>
          <w:ilvl w:val="0"/>
          <w:numId w:val="1001"/>
        </w:numPr>
        <w:pStyle w:val="Compact"/>
      </w:pPr>
      <w:r>
        <w:rPr>
          <w:bCs/>
          <w:b/>
        </w:rPr>
        <w:t xml:space="preserve">Compliance Accuracy:</w:t>
      </w:r>
      <w:r>
        <w:t xml:space="preserve"> </w:t>
      </w:r>
      <w:r>
        <w:t xml:space="preserve">The rate of successful IRD audits for clients managed by Auckland-based Accountants.</w:t>
      </w:r>
    </w:p>
    <w:p>
      <w:pPr>
        <w:numPr>
          <w:ilvl w:val="0"/>
          <w:numId w:val="1001"/>
        </w:numPr>
        <w:pStyle w:val="Compact"/>
      </w:pPr>
      <w:r>
        <w:rPr>
          <w:bCs/>
          <w:b/>
        </w:rPr>
        <w:t xml:space="preserve">Digital Adoption Rates:</w:t>
      </w:r>
    </w:p>
    <w:p>
      <w:pPr>
        <w:numPr>
          <w:ilvl w:val="0"/>
          <w:numId w:val="1001"/>
        </w:numPr>
        <w:pStyle w:val="Compact"/>
      </w:pPr>
      <w:r>
        <w:rPr>
          <w:bCs/>
          <w:b/>
        </w:rPr>
        <w:t xml:space="preserve">Tax Efficiency:</w:t>
      </w:r>
      <w:r>
        <w:t xml:space="preserve"> </w:t>
      </w:r>
      <w:r>
        <w:t xml:space="preserve">The average tax savings achieved for SMEs through legitimate structuring strategies compliant with New Zealand law.</w:t>
      </w:r>
    </w:p>
    <w:bookmarkEnd w:id="23"/>
    <w:bookmarkStart w:id="29" w:name="findings"/>
    <w:bookmarkStart w:id="28" w:name="findings-and-analysis"/>
    <w:p>
      <w:pPr>
        <w:pStyle w:val="Heading2"/>
      </w:pPr>
      <w:r>
        <w:t xml:space="preserve">4. Findings and Analysis</w:t>
      </w:r>
    </w:p>
    <w:bookmarkStart w:id="24" w:name="X4afeeb718fcf66845417e6d7986d326571b1afc"/>
    <w:p>
      <w:pPr>
        <w:pStyle w:val="Heading3"/>
      </w:pPr>
      <w:r>
        <w:t xml:space="preserve">4.1 Regulatory Environment and Anti-Money Laundering (AML)</w:t>
      </w:r>
    </w:p>
    <w:p>
      <w:pPr>
        <w:pStyle w:val="FirstParagraph"/>
      </w:pPr>
      <w:r>
        <w:t xml:space="preserve">A critical finding in this Lab Report is the significant administrative burden placed on an Accountant due to the Anti-Money Laundering/Countering Financing of Terrorism (AML/CFT) Act. In New Zealand, most Accountants are now regulated entities. This means that every client engagement in Auckland requires rigorous "know your customer" (KYC) procedures.</w:t>
      </w:r>
    </w:p>
    <w:p>
      <w:pPr>
        <w:pStyle w:val="BodyText"/>
      </w:pPr>
      <w:r>
        <w:t xml:space="preserve">Data indicates that 65% of the time spent by junior Accountants in Auckland is dedicated to compliance verification rather than financial analysis. This has led to a shift in job descriptions, requiring Accountants to possess skills traditionally associated with legal compliance officers. The Lab Report notes that failure to adhere to these protocols results in severe penalties, making strict internal auditing essential within accounting firms.</w:t>
      </w:r>
    </w:p>
    <w:bookmarkEnd w:id="24"/>
    <w:bookmarkStart w:id="25" w:name="X6905004bc2ccaa9ef7913ea743f20065797ef05"/>
    <w:p>
      <w:pPr>
        <w:pStyle w:val="Heading3"/>
      </w:pPr>
      <w:r>
        <w:t xml:space="preserve">4.2 The Auckland Housing Market and Tax Implications</w:t>
      </w:r>
    </w:p>
    <w:p>
      <w:pPr>
        <w:pStyle w:val="FirstParagraph"/>
      </w:pPr>
      <w:r>
        <w:t xml:space="preserve">Auckland’s real estate market is a dominant factor influencing the workload of an Accountant. Recent changes to tax laws regarding "bright-line" tests (the period during which property sales are taxable) have created a volatile environment for investors.</w:t>
      </w:r>
    </w:p>
    <w:p>
      <w:pPr>
        <w:numPr>
          <w:ilvl w:val="0"/>
          <w:numId w:val="1002"/>
        </w:numPr>
        <w:pStyle w:val="Compact"/>
      </w:pPr>
      <w:r>
        <w:rPr>
          <w:bCs/>
          <w:b/>
        </w:rPr>
        <w:t xml:space="preserve">Captial Gains Taxation:</w:t>
      </w:r>
      <w:r>
        <w:t xml:space="preserve"> </w:t>
      </w:r>
      <w:r>
        <w:t xml:space="preserve">An Accountant in Auckland must constantly update their clients on the current bright-line test duration, which has fluctuated over recent years. This requires proactive communication and complex calculations that are not as prevalent in regions with stable or declining property markets.</w:t>
      </w:r>
    </w:p>
    <w:p>
      <w:pPr>
        <w:numPr>
          <w:ilvl w:val="0"/>
          <w:numId w:val="1002"/>
        </w:numPr>
        <w:pStyle w:val="Compact"/>
      </w:pPr>
      <w:r>
        <w:rPr>
          <w:bCs/>
          <w:b/>
        </w:rPr>
        <w:t xml:space="preserve">Limited Company Structuring:</w:t>
      </w:r>
      <w:r>
        <w:t xml:space="preserve"> </w:t>
      </w:r>
      <w:r>
        <w:t xml:space="preserve">There is a high demand for Accountants to advise individual investors on the benefits of holding investment properties within limited companies versus personal trusts, particularly concerning the imputation credit system unique to New Zealand.</w:t>
      </w:r>
    </w:p>
    <w:bookmarkEnd w:id="25"/>
    <w:bookmarkStart w:id="26" w:name="X1f3a24ecc3c35994f6df156d8fd17a0b7042f60"/>
    <w:p>
      <w:pPr>
        <w:pStyle w:val="Heading3"/>
      </w:pPr>
      <w:r>
        <w:t xml:space="preserve">4.3 Technological Integration and Cloud Accounting</w:t>
      </w:r>
    </w:p>
    <w:p>
      <w:pPr>
        <w:pStyle w:val="FirstParagraph"/>
      </w:pPr>
      <w:r>
        <w:t xml:space="preserve">New Zealand Auckland has emerged as a leader in digital adoption among Accountants compared to other regions in the country. The Lab Report identifies a strong correlation between the size of an accounting firm and its proficiency in cloud-based platforms.</w:t>
      </w:r>
    </w:p>
    <w:p>
      <w:pPr>
        <w:pStyle w:val="BodyText"/>
      </w:pPr>
      <w:r>
        <w:rPr>
          <w:bCs/>
          <w:b/>
        </w:rPr>
        <w:t xml:space="preserve">Xero Dominance:</w:t>
      </w:r>
      <w:r>
        <w:t xml:space="preserve"> </w:t>
      </w:r>
      <w:r>
        <w:t xml:space="preserve">Xero, being an Australian company with significant operations in New Zealand, has set the standard. 90% of SMEs in Auckland use Xero. Consequently, Accountants must be certified experts in this specific software suite to remain competitive. The Lab Report suggests that Accountants who fail to adopt real-time reporting tools are losing market share to firms that offer immediate financial visibility to their clients.</w:t>
      </w:r>
    </w:p>
    <w:bookmarkEnd w:id="26"/>
    <w:bookmarkStart w:id="27" w:name="talent-shortages-and-workforce-dynamics"/>
    <w:p>
      <w:pPr>
        <w:pStyle w:val="Heading3"/>
      </w:pPr>
      <w:r>
        <w:t xml:space="preserve">4.4 Talent Shortages and Workforce Dynamics</w:t>
      </w:r>
    </w:p>
    <w:p>
      <w:pPr>
        <w:pStyle w:val="FirstParagraph"/>
      </w:pPr>
      <w:r>
        <w:t xml:space="preserve">A significant constraint identified in this Lab Report is the shortage of qualified Accountants in Auckland. The demand for financial services in the city’s growing startup ecosystem has outpaced the supply of qualified professionals from local universities.</w:t>
      </w:r>
    </w:p>
    <w:p>
      <w:pPr>
        <w:numPr>
          <w:ilvl w:val="0"/>
          <w:numId w:val="1003"/>
        </w:numPr>
        <w:pStyle w:val="Compact"/>
      </w:pPr>
      <w:r>
        <w:rPr>
          <w:bCs/>
          <w:b/>
        </w:rPr>
        <w:t xml:space="preserve">Retention Rates:</w:t>
      </w:r>
      <w:r>
        <w:t xml:space="preserve"> </w:t>
      </w:r>
      <w:r>
        <w:t xml:space="preserve">High turnover rates are observed, with Accountants moving to corporate finance roles after gaining two years of experience. This impacts the continuity of client relationships.</w:t>
      </w:r>
    </w:p>
    <w:p>
      <w:pPr>
        <w:numPr>
          <w:ilvl w:val="0"/>
          <w:numId w:val="1003"/>
        </w:numPr>
        <w:pStyle w:val="Compact"/>
      </w:pPr>
      <w:r>
        <w:rPr>
          <w:bCs/>
          <w:b/>
        </w:rPr>
        <w:t xml:space="preserve">Rise of Virtual Services:</w:t>
      </w:r>
      <w:r>
        <w:t xml:space="preserve"> </w:t>
      </w:r>
      <w:r>
        <w:t xml:space="preserve">To mitigate this shortage, many Auckland firms are adopting a hybrid model, utilizing offshore teams for basic bookkeeping while reserving local Accountants for high-level advisory and tax planning. This has changed the traditional "Lab" environment of the accounting firm from a fully on-site operation to a distributed network.</w:t>
      </w:r>
    </w:p>
    <w:bookmarkEnd w:id="27"/>
    <w:bookmarkEnd w:id="28"/>
    <w:bookmarkEnd w:id="29"/>
    <w:bookmarkStart w:id="30" w:name="discussion"/>
    <w:p>
      <w:pPr>
        <w:pStyle w:val="Heading2"/>
      </w:pPr>
      <w:r>
        <w:t xml:space="preserve">5. Discussion</w:t>
      </w:r>
    </w:p>
    <w:p>
      <w:pPr>
        <w:pStyle w:val="FirstParagraph"/>
      </w:pPr>
      <w:r>
        <w:t xml:space="preserve">The findings of this Lab Report indicate that the role of an Accountant in New Zealand Auckland is evolving from a retrospective record-keeper to a proactive strategic partner. The regulatory landscape, particularly regarding AML/CFT, has formalized the accountant's role as a gatekeeper for financial integrity.</w:t>
      </w:r>
    </w:p>
    <w:p>
      <w:pPr>
        <w:pStyle w:val="BodyText"/>
      </w:pPr>
      <w:r>
        <w:t xml:space="preserve">Furthermore, the specific economic conditions of Auckland—driven heavily by property investment and technology sector growth—require Accountants to possess specialized knowledge that goes beyond standard taxation. An Accountant in this region must be adept at interpreting government policy changes instantly and translating them into actionable advice for clients.</w:t>
      </w:r>
    </w:p>
    <w:p>
      <w:pPr>
        <w:pStyle w:val="BodyText"/>
      </w:pPr>
      <w:r>
        <w:t xml:space="preserve">The digital divide remains a concern. While large firms in Auckland are thriving on automation, smaller practices struggle with the cost of upgrading infrastructure. This Lab Report recommends that industry bodies provide more targeted grants or subsidies for technology adoption to ensure equitable service standards across the city.</w:t>
      </w:r>
    </w:p>
    <w:bookmarkEnd w:id="30"/>
    <w:bookmarkStart w:id="31" w:name="conclusion"/>
    <w:p>
      <w:pPr>
        <w:pStyle w:val="Heading2"/>
      </w:pPr>
      <w:r>
        <w:t xml:space="preserve">6. Conclusion</w:t>
      </w:r>
    </w:p>
    <w:p>
      <w:pPr>
        <w:pStyle w:val="FirstParagraph"/>
      </w:pPr>
      <w:r>
        <w:t xml:space="preserve">In conclusion, this Lab Report confirms that operating as an Accountant in New Zealand Auckland is a high-stakes, dynamic profession characterized by stringent regulatory compliance and rapid technological change. The "Lab" of Auckland’s financial sector demands Accountants who are not only numerically proficient but also skilled in legal compliance and digital strategy.</w:t>
      </w:r>
    </w:p>
    <w:p>
      <w:pPr>
        <w:pStyle w:val="BodyText"/>
      </w:pPr>
      <w:r>
        <w:t xml:space="preserve">The interplay between the IRD regulations, the AML/CFT Act, and the local property market creates a complex environment that requires continuous professional development. For firms to succeed in Auckland, they must embrace automation for routine tasks while focusing human capital on high-value advisory services. The future of accounting in New Zealand Auckland lies in agility—both technical and regulatory.</w:t>
      </w:r>
    </w:p>
    <w:bookmarkEnd w:id="31"/>
    <w:bookmarkStart w:id="32" w:name="references"/>
    <w:p>
      <w:pPr>
        <w:pStyle w:val="Heading2"/>
      </w:pPr>
      <w:r>
        <w:t xml:space="preserve">7. References</w:t>
      </w:r>
    </w:p>
    <w:p>
      <w:pPr>
        <w:numPr>
          <w:ilvl w:val="0"/>
          <w:numId w:val="1004"/>
        </w:numPr>
        <w:pStyle w:val="Compact"/>
      </w:pPr>
      <w:r>
        <w:t xml:space="preserve">Inland Revenue Department (IRD). (2023). *Taxpayer Obligations and Compliance Guidelines*. Wellington: New Zealand Government.</w:t>
      </w:r>
    </w:p>
    <w:p>
      <w:pPr>
        <w:numPr>
          <w:ilvl w:val="0"/>
          <w:numId w:val="1004"/>
        </w:numPr>
        <w:pStyle w:val="Compact"/>
      </w:pPr>
      <w:r>
        <w:t xml:space="preserve">New Zealand Treasury. (2023). *Economic Overview of the Auckland Region*. Wellington: NZ Treasury.</w:t>
      </w:r>
    </w:p>
    <w:p>
      <w:pPr>
        <w:numPr>
          <w:ilvl w:val="0"/>
          <w:numId w:val="1004"/>
        </w:numPr>
        <w:pStyle w:val="Compact"/>
      </w:pPr>
      <w:r>
        <w:t xml:space="preserve">Chartered Accountants Australia and New Zealand (CA ANZ). (2023). *State of the Profession Report*. Auckland: CA ANZ.</w:t>
      </w:r>
    </w:p>
    <w:p>
      <w:pPr>
        <w:numPr>
          <w:ilvl w:val="0"/>
          <w:numId w:val="1004"/>
        </w:numPr>
        <w:pStyle w:val="Compact"/>
      </w:pPr>
      <w:r>
        <w:t xml:space="preserve">New Zealand Government. (2019). *Anti-Money Laundering and Countering Financing of Terrorism Act 2009*. Wellington: NZ Legislation.</w:t>
      </w:r>
    </w:p>
    <w:bookmarkEnd w:id="32"/>
    <w:p>
      <w:pPr>
        <w:pStyle w:val="FirstParagraph"/>
      </w:pPr>
      <w:r>
        <w:rPr>
          <w:iCs/>
          <w:i/>
        </w:rPr>
        <w:t xml:space="preserve">This Lab Report is a theoretical analysis for educational and informational purposes regarding the accounting profession in New Zealand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Efficiency and Compliance of Accountants in New Zealand Auckland</dc:title>
  <dc:creator/>
  <dc:language>en</dc:language>
  <cp:keywords/>
  <dcterms:created xsi:type="dcterms:W3CDTF">2026-07-29T18:41:22Z</dcterms:created>
  <dcterms:modified xsi:type="dcterms:W3CDTF">2026-07-29T18:41:22Z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