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The</w:t>
      </w:r>
      <w:r>
        <w:t xml:space="preserve"> </w:t>
      </w:r>
      <w:r>
        <w:t xml:space="preserve">Operational</w:t>
      </w:r>
      <w:r>
        <w:t xml:space="preserve"> </w:t>
      </w:r>
      <w:r>
        <w:t xml:space="preserve">Framework</w:t>
      </w:r>
      <w:r>
        <w:t xml:space="preserve"> </w:t>
      </w:r>
      <w:r>
        <w:t xml:space="preserve">and</w:t>
      </w:r>
      <w:r>
        <w:t xml:space="preserve"> </w:t>
      </w:r>
      <w:r>
        <w:t xml:space="preserve">Regulatory</w:t>
      </w:r>
      <w:r>
        <w:t xml:space="preserve"> </w:t>
      </w:r>
      <w:r>
        <w:t xml:space="preserve">Compliance</w:t>
      </w:r>
      <w:r>
        <w:t xml:space="preserve"> </w:t>
      </w:r>
      <w:r>
        <w:t xml:space="preserve">of</w:t>
      </w:r>
      <w:r>
        <w:t xml:space="preserve"> </w:t>
      </w:r>
      <w:r>
        <w:t xml:space="preserve">the</w:t>
      </w:r>
      <w:r>
        <w:t xml:space="preserve"> </w:t>
      </w:r>
      <w:r>
        <w:t xml:space="preserve">Accountant</w:t>
      </w:r>
      <w:r>
        <w:t xml:space="preserve"> </w:t>
      </w:r>
      <w:r>
        <w:t xml:space="preserve">in</w:t>
      </w:r>
      <w:r>
        <w:t xml:space="preserve"> </w:t>
      </w:r>
      <w:r>
        <w:t xml:space="preserve">New</w:t>
      </w:r>
      <w:r>
        <w:t xml:space="preserve"> </w:t>
      </w:r>
      <w:r>
        <w:t xml:space="preserve">Zealand</w:t>
      </w:r>
      <w:r>
        <w:t xml:space="preserve"> </w:t>
      </w:r>
      <w:r>
        <w:t xml:space="preserve">Wellington</w:t>
      </w:r>
    </w:p>
    <w:bookmarkStart w:id="20" w:name="X9167caf707f5621df3d59c7a216528d9154c839"/>
    <w:p>
      <w:pPr>
        <w:pStyle w:val="Heading1"/>
      </w:pPr>
      <w:r>
        <w:t xml:space="preserve">Laboratory Analysis Report: The Accountant in the Context of New Zealand Wellington</w:t>
      </w:r>
    </w:p>
    <w:p>
      <w:pPr>
        <w:pStyle w:val="FirstParagraph"/>
      </w:pPr>
      <w:r>
        <w:rPr>
          <w:bCs/>
          <w:b/>
        </w:rPr>
        <w:t xml:space="preserve">Date:</w:t>
      </w:r>
      <w:r>
        <w:t xml:space="preserve"> </w:t>
      </w:r>
      <w:r>
        <w:t xml:space="preserve">October 26, 2023</w:t>
      </w:r>
      <w:r>
        <w:br/>
      </w:r>
      <w:r>
        <w:rPr>
          <w:bCs/>
          <w:b/>
        </w:rPr>
        <w:t xml:space="preserve">Location:</w:t>
      </w:r>
      <w:r>
        <w:t xml:space="preserve">New Zealand Wellington</w:t>
      </w:r>
      <w:r>
        <w:br/>
      </w:r>
      <w:r>
        <w:t xml:space="preserve">The Professional Practice and Regulatory Environment of the Accountant</w:t>
      </w:r>
    </w:p>
    <w:bookmarkEnd w:id="20"/>
    <w:bookmarkStart w:id="21" w:name="abstract"/>
    <w:p>
      <w:pPr>
        <w:pStyle w:val="Heading2"/>
      </w:pPr>
      <w:r>
        <w:t xml:space="preserve">Abstract</w:t>
      </w:r>
    </w:p>
    <w:p>
      <w:pPr>
        <w:pStyle w:val="FirstParagraph"/>
      </w:pPr>
      <w:r>
        <w:t xml:space="preserve">This laboratory report serves as a comprehensive examination of the role, responsibilities, and regulatory environment surrounding the</w:t>
      </w:r>
      <w:r>
        <w:t xml:space="preserve"> </w:t>
      </w:r>
      <w:r>
        <w:rPr>
          <w:bCs/>
          <w:b/>
        </w:rPr>
        <w:t xml:space="preserve">Accountant</w:t>
      </w:r>
      <w:r>
        <w:t xml:space="preserve">. The specific focus of this analysis is situated within</w:t>
      </w:r>
      <w:r>
        <w:t xml:space="preserve"> </w:t>
      </w:r>
      <w:r>
        <w:rPr>
          <w:bCs/>
          <w:b/>
        </w:rPr>
        <w:t xml:space="preserve">New Zealand Wellington</w:t>
      </w:r>
      <w:r>
        <w:t xml:space="preserve"> </w:t>
      </w:r>
      <w:r>
        <w:t xml:space="preserve">, a hub for finance and government administration. The objective is to deconstruct how an accountant operates within the unique legal, economic, and geographic framework of Wellington. By analyzing tax compliance, auditing standards, and client interaction models specific to this region, this report provides a detailed "lab test" of the accounting profession's current state.</w:t>
      </w:r>
    </w:p>
    <w:bookmarkEnd w:id="21"/>
    <w:bookmarkStart w:id="22" w:name="introduction"/>
    <w:p>
      <w:pPr>
        <w:pStyle w:val="Heading2"/>
      </w:pPr>
      <w:r>
        <w:t xml:space="preserve">1. Introduction</w:t>
      </w:r>
    </w:p>
    <w:p>
      <w:pPr>
        <w:pStyle w:val="FirstParagraph"/>
      </w:pPr>
      <w:r>
        <w:t xml:space="preserve">The profession of the</w:t>
      </w:r>
      <w:r>
        <w:t xml:space="preserve"> </w:t>
      </w:r>
      <w:r>
        <w:rPr>
          <w:bCs/>
          <w:b/>
        </w:rPr>
        <w:t xml:space="preserve">Accountant</w:t>
      </w:r>
      <w:r>
        <w:t xml:space="preserve"> </w:t>
      </w:r>
      <w:r>
        <w:t xml:space="preserve">is often misunderstood as merely a backend function focused on number-crunching. However, in the dynamic economic ecosystem of</w:t>
      </w:r>
      <w:r>
        <w:t xml:space="preserve"> </w:t>
      </w:r>
      <w:r>
        <w:rPr>
          <w:bCs/>
          <w:b/>
        </w:rPr>
        <w:t xml:space="preserve">New Zealand Wellington</w:t>
      </w:r>
      <w:r>
        <w:t xml:space="preserve">, the accountant acts as a strategic partner to businesses, non-profits, and government entities. Wellington is not only the capital city but also home to a high concentration of financial services firms, particularly those specializing in insurance and superannuation funds due to its proximity to national regulatory bodies.</w:t>
      </w:r>
    </w:p>
    <w:p>
      <w:pPr>
        <w:pStyle w:val="BodyText"/>
      </w:pPr>
      <w:r>
        <w:t xml:space="preserve">This report aims to dissect the operational "lab" of the accountant. We will observe how local regulations interact with international accounting standards. The significance of this study lies in understanding how an</w:t>
      </w:r>
      <w:r>
        <w:t xml:space="preserve"> </w:t>
      </w:r>
      <w:r>
        <w:rPr>
          <w:bCs/>
          <w:b/>
        </w:rPr>
        <w:t xml:space="preserve">Accountant</w:t>
      </w:r>
      <w:r>
        <w:t xml:space="preserve"> </w:t>
      </w:r>
      <w:r>
        <w:t xml:space="preserve">must adapt their methodologies to comply with New Zealand’s specific legislative requirements, particularly those enforced from</w:t>
      </w:r>
      <w:r>
        <w:t xml:space="preserve"> </w:t>
      </w:r>
      <w:r>
        <w:rPr>
          <w:bCs/>
          <w:b/>
        </w:rPr>
        <w:t xml:space="preserve">New Zealand Wellington</w:t>
      </w:r>
      <w:r>
        <w:t xml:space="preserve">. The city’s status as a political and administrative center creates a unique pressure point for compliance and ethical rigor that defines the daily workflow of professionals in this sector.</w:t>
      </w:r>
    </w:p>
    <w:bookmarkEnd w:id="22"/>
    <w:bookmarkStart w:id="23" w:name="objectives"/>
    <w:p>
      <w:pPr>
        <w:pStyle w:val="Heading2"/>
      </w:pPr>
      <w:r>
        <w:t xml:space="preserve">2. Objectives of the Analysis</w:t>
      </w:r>
    </w:p>
    <w:p>
      <w:pPr>
        <w:pStyle w:val="FirstParagraph"/>
      </w:pPr>
      <w:r>
        <w:t xml:space="preserve">The primary objectives of this laboratory report are as follows:</w:t>
      </w:r>
    </w:p>
    <w:p>
      <w:pPr>
        <w:numPr>
          <w:ilvl w:val="0"/>
          <w:numId w:val="1001"/>
        </w:numPr>
        <w:pStyle w:val="Compact"/>
      </w:pPr>
      <w:r>
        <w:t xml:space="preserve">To define the core competencies required by an</w:t>
      </w:r>
      <w:r>
        <w:t xml:space="preserve"> </w:t>
      </w:r>
      <w:r>
        <w:rPr>
          <w:bCs/>
          <w:b/>
        </w:rPr>
        <w:t xml:space="preserve">Accountant</w:t>
      </w:r>
      <w:r>
        <w:t xml:space="preserve">.</w:t>
      </w:r>
    </w:p>
    <w:p>
      <w:pPr>
        <w:numPr>
          <w:ilvl w:val="0"/>
          <w:numId w:val="1001"/>
        </w:numPr>
        <w:pStyle w:val="Compact"/>
      </w:pPr>
      <w:r>
        <w:t xml:space="preserve">To analyze the specific regulatory framework governing financial practices in</w:t>
      </w:r>
      <w:r>
        <w:t xml:space="preserve"> </w:t>
      </w:r>
      <w:r>
        <w:rPr>
          <w:bCs/>
          <w:b/>
        </w:rPr>
        <w:t xml:space="preserve">New Zealand Wellington</w:t>
      </w:r>
      <w:r>
        <w:t xml:space="preserve">.</w:t>
      </w:r>
    </w:p>
    <w:p>
      <w:pPr>
        <w:numPr>
          <w:ilvl w:val="0"/>
          <w:numId w:val="1001"/>
        </w:numPr>
        <w:pStyle w:val="Compact"/>
      </w:pPr>
      <w:r>
        <w:t xml:space="preserve">To evaluate the impact of local economic factors on accounting methodologies.</w:t>
      </w:r>
    </w:p>
    <w:p>
      <w:pPr>
        <w:numPr>
          <w:ilvl w:val="0"/>
          <w:numId w:val="1001"/>
        </w:numPr>
        <w:pStyle w:val="Compact"/>
      </w:pPr>
      <w:r>
        <w:t xml:space="preserve">To assess the technological integration and digital transformation within accounting firms based in Wellington.</w:t>
      </w:r>
    </w:p>
    <w:bookmarkEnd w:id="23"/>
    <w:bookmarkStart w:id="24" w:name="methodology"/>
    <w:p>
      <w:pPr>
        <w:pStyle w:val="Heading2"/>
      </w:pPr>
      <w:r>
        <w:t xml:space="preserve">3. Methodology and Framework</w:t>
      </w:r>
    </w:p>
    <w:p>
      <w:pPr>
        <w:pStyle w:val="FirstParagraph"/>
      </w:pPr>
      <w:r>
        <w:t xml:space="preserve">In conducting this "lab" analysis, we utilize a qualitative framework that examines case studies of firms operating in</w:t>
      </w:r>
      <w:r>
        <w:t xml:space="preserve"> </w:t>
      </w:r>
      <w:r>
        <w:rPr>
          <w:bCs/>
          <w:b/>
        </w:rPr>
        <w:t xml:space="preserve">New Zealand Wellington</w:t>
      </w:r>
      <w:r>
        <w:t xml:space="preserve">. The data is gathered through an examination of statutory requirements set by the New Zealand Institute of Chartered Accountants (NZICA) and the Inland Revenue Department (IRD). The environment of</w:t>
      </w:r>
      <w:r>
        <w:t xml:space="preserve"> </w:t>
      </w:r>
      <w:r>
        <w:rPr>
          <w:bCs/>
          <w:b/>
        </w:rPr>
        <w:t xml:space="preserve">New Zealand Wellington</w:t>
      </w:r>
      <w:r>
        <w:t xml:space="preserve"> </w:t>
      </w:r>
      <w:r>
        <w:t xml:space="preserve">is treated as the controlled variable, influencing how an</w:t>
      </w:r>
    </w:p>
    <w:p>
      <w:pPr>
        <w:pStyle w:val="BodyText"/>
      </w:pPr>
      <w:r>
        <w:t xml:space="preserve">Accountant must structure their client engagements.</w:t>
      </w:r>
    </w:p>
    <w:p>
      <w:pPr>
        <w:pStyle w:val="BodyText"/>
      </w:pPr>
      <w:r>
        <w:t xml:space="preserve">The analysis considers three key pillars:</w:t>
      </w:r>
    </w:p>
    <w:p>
      <w:pPr>
        <w:numPr>
          <w:ilvl w:val="0"/>
          <w:numId w:val="1002"/>
        </w:numPr>
        <w:pStyle w:val="Compact"/>
      </w:pPr>
      <w:r>
        <w:rPr>
          <w:bCs/>
          <w:b/>
        </w:rPr>
        <w:t xml:space="preserve">Legislative Compliance:</w:t>
      </w:r>
      <w:r>
        <w:br/>
      </w:r>
      <w:r>
        <w:t xml:space="preserve">Focusing on the Income Tax Act 2007 and the Financial Reporting Act 2013. In Wellington, where many government contracts are processed, strict adherence to these acts is paramount for any</w:t>
      </w:r>
      <w:r>
        <w:t xml:space="preserve"> </w:t>
      </w:r>
      <w:r>
        <w:rPr>
          <w:bCs/>
          <w:b/>
        </w:rPr>
        <w:t xml:space="preserve">Accountant</w:t>
      </w:r>
      <w:r>
        <w:t xml:space="preserve">.</w:t>
      </w:r>
    </w:p>
    <w:p>
      <w:pPr>
        <w:numPr>
          <w:ilvl w:val="0"/>
          <w:numId w:val="1002"/>
        </w:numPr>
        <w:pStyle w:val="Compact"/>
      </w:pPr>
      <w:r>
        <w:rPr>
          <w:bCs/>
          <w:b/>
        </w:rPr>
        <w:t xml:space="preserve">Economic Context:</w:t>
      </w:r>
      <w:r>
        <w:br/>
      </w:r>
      <w:r>
        <w:t xml:space="preserve">Analyzing how Wellington’s real estate market and its status as a tech hub influence valuation methods used by accountants.</w:t>
      </w:r>
    </w:p>
    <w:p>
      <w:pPr>
        <w:numPr>
          <w:ilvl w:val="0"/>
          <w:numId w:val="1002"/>
        </w:numPr>
        <w:pStyle w:val="Compact"/>
      </w:pPr>
      <w:r>
        <w:rPr>
          <w:bCs/>
          <w:b/>
        </w:rPr>
        <w:t xml:space="preserve">Ethical Standards:</w:t>
      </w:r>
      <w:r>
        <w:br/>
      </w:r>
      <w:r>
        <w:t xml:space="preserve">Reviewing the code of ethics required for professional designation, which is strictly enforced in the capital city due to high visibility.</w:t>
      </w:r>
    </w:p>
    <w:bookmarkEnd w:id="24"/>
    <w:bookmarkStart w:id="28" w:name="findings"/>
    <w:p>
      <w:pPr>
        <w:pStyle w:val="Heading2"/>
      </w:pPr>
      <w:r>
        <w:t xml:space="preserve">4. Findings: The Wellington Context</w:t>
      </w:r>
    </w:p>
    <w:bookmarkStart w:id="25" w:name="X62f792807c7aaa814c66ca0d0eb2e9e187158ec"/>
    <w:p>
      <w:pPr>
        <w:pStyle w:val="Heading3"/>
      </w:pPr>
      <w:r>
        <w:t xml:space="preserve">4.1 Regulatory Density in New Zealand Wellington</w:t>
      </w:r>
    </w:p>
    <w:p>
      <w:pPr>
        <w:pStyle w:val="FirstParagraph"/>
      </w:pPr>
      <w:r>
        <w:rPr>
          <w:bCs/>
          <w:b/>
        </w:rPr>
        <w:t xml:space="preserve">New Zealand Wellington</w:t>
      </w:r>
      <w:r>
        <w:t xml:space="preserve"> </w:t>
      </w:r>
      <w:r>
        <w:t xml:space="preserve">serves as the headquarters for several major regulatory bodies. For an</w:t>
      </w:r>
      <w:r>
        <w:t xml:space="preserve"> </w:t>
      </w:r>
      <w:r>
        <w:rPr>
          <w:bCs/>
          <w:b/>
        </w:rPr>
        <w:t xml:space="preserve">Accountant</w:t>
      </w:r>
      <w:r>
        <w:t xml:space="preserve">, this means that the region is under heightened scrutiny compared to other parts of the country. Auditors and accountants in Wellington often deal with complex cross-border transactions involving international organizations headquartered in the city. Consequently, the accountant must possess a deep understanding of transfer pricing, international tax treaties, and anti-money laundering (AML) compliance.</w:t>
      </w:r>
    </w:p>
    <w:bookmarkEnd w:id="25"/>
    <w:bookmarkStart w:id="26" w:name="specialization-sectors"/>
    <w:p>
      <w:pPr>
        <w:pStyle w:val="Heading3"/>
      </w:pPr>
      <w:r>
        <w:t xml:space="preserve">4.2 Specialization Sectors</w:t>
      </w:r>
    </w:p>
    <w:p>
      <w:pPr>
        <w:pStyle w:val="FirstParagraph"/>
      </w:pPr>
      <w:r>
        <w:t xml:space="preserve">A distinct finding of this report is the specialization required in Wellington. Unlike other cities that may focus heavily on agriculture or tourism accounting, Wellington’s accountant often specializes in:</w:t>
      </w:r>
    </w:p>
    <w:p>
      <w:pPr>
        <w:numPr>
          <w:ilvl w:val="0"/>
          <w:numId w:val="1003"/>
        </w:numPr>
        <w:pStyle w:val="Compact"/>
      </w:pPr>
      <w:r>
        <w:rPr>
          <w:bCs/>
          <w:b/>
        </w:rPr>
        <w:t xml:space="preserve">Social Impact and Non-Profits:</w:t>
      </w:r>
      <w:r>
        <w:t xml:space="preserve"> </w:t>
      </w:r>
      <w:r>
        <w:t xml:space="preserve">Given the concentration of NGOs and international aid organizations in the capital, accountants must be adept at managing restricted funding and reporting impacts rather than just profits.</w:t>
      </w:r>
    </w:p>
    <w:p>
      <w:pPr>
        <w:numPr>
          <w:ilvl w:val="0"/>
          <w:numId w:val="1003"/>
        </w:numPr>
        <w:pStyle w:val="Compact"/>
      </w:pPr>
      <w:r>
        <w:rPr>
          <w:bCs/>
          <w:b/>
        </w:rPr>
        <w:t xml:space="preserve">Tech Start-ups:</w:t>
      </w:r>
      <w:r>
        <w:t xml:space="preserve"> </w:t>
      </w:r>
      <w:r>
        <w:t xml:space="preserve">Wellington’s growing tech scene requires accountants who understand intellectual property valuation, venture capital structures, and R&amp;D tax incentives.</w:t>
      </w:r>
    </w:p>
    <w:bookmarkEnd w:id="26"/>
    <w:bookmarkStart w:id="27" w:name="technology"/>
    <w:p>
      <w:pPr>
        <w:pStyle w:val="Heading3"/>
      </w:pPr>
      <w:r>
        <w:t xml:space="preserve">4.3 Technological Adaptation</w:t>
      </w:r>
    </w:p>
    <w:p>
      <w:pPr>
        <w:pStyle w:val="FirstParagraph"/>
      </w:pPr>
      <w:r>
        <w:t xml:space="preserve">The role of the</w:t>
      </w:r>
      <w:r>
        <w:t xml:space="preserve"> </w:t>
      </w:r>
      <w:r>
        <w:rPr>
          <w:bCs/>
          <w:b/>
        </w:rPr>
        <w:t xml:space="preserve">Accountant</w:t>
      </w:r>
      <w:r>
        <w:br/>
      </w:r>
      <w:r>
        <w:t xml:space="preserve">In modern</w:t>
      </w:r>
      <w:r>
        <w:t xml:space="preserve"> </w:t>
      </w:r>
      <w:r>
        <w:rPr>
          <w:bCs/>
          <w:b/>
        </w:rPr>
        <w:t xml:space="preserve">New Zealand Wellington,</w:t>
      </w:r>
      <w:r>
        <w:br/>
      </w:r>
      <w:r>
        <w:t xml:space="preserve">The traditional ledger is rapidly being replaced by cloud-based accounting software. Firms in the CBD are leading this adoption, requiring accountants to be proficient in data analytics tools. The "lab" environment here tests the accountant's ability to interpret big data for strategic business decisions, moving beyond historical reporting into predictive forecasting.</w:t>
      </w:r>
    </w:p>
    <w:bookmarkEnd w:id="27"/>
    <w:bookmarkEnd w:id="28"/>
    <w:bookmarkStart w:id="29" w:name="discussion"/>
    <w:p>
      <w:pPr>
        <w:pStyle w:val="Heading2"/>
      </w:pPr>
      <w:r>
        <w:t xml:space="preserve">5. Discussion</w:t>
      </w:r>
    </w:p>
    <w:p>
      <w:pPr>
        <w:pStyle w:val="FirstParagraph"/>
      </w:pPr>
      <w:r>
        <w:t xml:space="preserve">The findings suggest that being an</w:t>
      </w:r>
      <w:r>
        <w:t xml:space="preserve"> </w:t>
      </w:r>
      <w:r>
        <w:rPr>
          <w:bCs/>
          <w:b/>
        </w:rPr>
        <w:t xml:space="preserve">Accountant</w:t>
      </w:r>
      <w:r>
        <w:br/>
      </w:r>
      <w:r>
        <w:t xml:space="preserve">In</w:t>
      </w:r>
      <w:r>
        <w:t xml:space="preserve"> </w:t>
      </w:r>
      <w:r>
        <w:rPr>
          <w:bCs/>
          <w:b/>
        </w:rPr>
        <w:t xml:space="preserve">New Zealand Wellington,</w:t>
      </w:r>
      <w:r>
        <w:br/>
      </w:r>
      <w:r>
        <w:t xml:space="preserve">This requires a dual competency: technical accounting knowledge and soft skills in client communication. The high cost of living and business operations in Wellington necessitates efficiency; therefore, accountants must leverage technology to reduce manual labor. Furthermore, the competitive nature of the market means that an accountant cannot simply file returns; they must provide advisory services that justify their fees through tangible value addition.</w:t>
      </w:r>
    </w:p>
    <w:p>
      <w:pPr>
        <w:pStyle w:val="BodyText"/>
      </w:pPr>
      <w:r>
        <w:t xml:space="preserve">The unique political environment of Wellington also adds a layer of complexity. Changes in government policy can have immediate ripple effects on tax codes and compliance requirements. An accountant here must be agile, capable of adjusting business strategies for clients within days, if not hours, of legislative announcements made in Beehive House.</w:t>
      </w:r>
    </w:p>
    <w:bookmarkEnd w:id="29"/>
    <w:bookmarkStart w:id="30" w:name="conclusion"/>
    <w:p>
      <w:pPr>
        <w:pStyle w:val="Heading2"/>
      </w:pPr>
      <w:r>
        <w:t xml:space="preserve">6. Conclusion</w:t>
      </w:r>
    </w:p>
    <w:p>
      <w:pPr>
        <w:pStyle w:val="FirstParagraph"/>
      </w:pPr>
      <w:r>
        <w:t xml:space="preserve">This laboratory report confirms that the role of the</w:t>
      </w:r>
      <w:r>
        <w:t xml:space="preserve"> </w:t>
      </w:r>
      <w:r>
        <w:rPr>
          <w:bCs/>
          <w:b/>
        </w:rPr>
        <w:t xml:space="preserve">Accountant</w:t>
      </w:r>
      <w:r>
        <w:br/>
      </w:r>
      <w:r>
        <w:t xml:space="preserve">In</w:t>
      </w:r>
      <w:r>
        <w:t xml:space="preserve"> </w:t>
      </w:r>
      <w:r>
        <w:rPr>
          <w:bCs/>
          <w:b/>
        </w:rPr>
        <w:t xml:space="preserve">New Zealand Wellington,</w:t>
      </w:r>
      <w:r>
        <w:br/>
      </w:r>
      <w:r>
        <w:t xml:space="preserve">The professional must navigate a dense regulatory landscape, adapt to specialized industry needs, and integrate advanced technologies. The city’s status as a capital creates an environment of high standards and accountability.</w:t>
      </w:r>
    </w:p>
    <w:p>
      <w:pPr>
        <w:pStyle w:val="BodyText"/>
      </w:pPr>
      <w:r>
        <w:t xml:space="preserve">For any individual or entity considering engagement with accounting services in this region, it is imperative to select professionals who understand the local nuances of</w:t>
      </w:r>
      <w:r>
        <w:t xml:space="preserve"> </w:t>
      </w:r>
      <w:r>
        <w:rPr>
          <w:bCs/>
          <w:b/>
        </w:rPr>
        <w:t xml:space="preserve">New Zealand Wellington</w:t>
      </w:r>
      <w:r>
        <w:t xml:space="preserve">. The modern accountant here is not just a recorder of history but a navigator of regulatory complexity and a strategist for future growth. The findings emphasize that success in this "lab" requires continuous professional development, ethical integrity, and technological fluency.</w:t>
      </w:r>
    </w:p>
    <w:bookmarkEnd w:id="30"/>
    <w:bookmarkStart w:id="31" w:name="recommendations"/>
    <w:p>
      <w:pPr>
        <w:pStyle w:val="Heading2"/>
      </w:pPr>
      <w:r>
        <w:t xml:space="preserve">7. Recommendations</w:t>
      </w:r>
    </w:p>
    <w:p>
      <w:pPr>
        <w:numPr>
          <w:ilvl w:val="0"/>
          <w:numId w:val="1004"/>
        </w:numPr>
        <w:pStyle w:val="Compact"/>
      </w:pPr>
      <w:r>
        <w:rPr>
          <w:bCs/>
          <w:b/>
        </w:rPr>
        <w:t xml:space="preserve">For Accounting Firms:</w:t>
      </w:r>
      <w:r>
        <w:br/>
      </w:r>
      <w:r>
        <w:t xml:space="preserve">To invest heavily in continuous training regarding changes in New Zealand tax law, specifically those affecting the public sector and large corporations prevalent in Wellington.</w:t>
      </w:r>
    </w:p>
    <w:p>
      <w:pPr>
        <w:numPr>
          <w:ilvl w:val="0"/>
          <w:numId w:val="1004"/>
        </w:numPr>
        <w:pStyle w:val="Compact"/>
      </w:pPr>
      <w:r>
        <w:rPr>
          <w:bCs/>
          <w:b/>
        </w:rPr>
        <w:t xml:space="preserve">For Regulatory Bodies:</w:t>
      </w:r>
      <w:r>
        <w:br/>
      </w:r>
      <w:r>
        <w:t xml:space="preserve">To streamline reporting requirements for small businesses to reduce the compliance burden on local accountants.</w:t>
      </w:r>
    </w:p>
    <w:p>
      <w:pPr>
        <w:numPr>
          <w:ilvl w:val="0"/>
          <w:numId w:val="1004"/>
        </w:numPr>
        <w:pStyle w:val="Compact"/>
      </w:pPr>
      <w:r>
        <w:rPr>
          <w:bCs/>
          <w:b/>
        </w:rPr>
        <w:t xml:space="preserve">For Students/Professionals:</w:t>
      </w:r>
      <w:r>
        <w:br/>
      </w:r>
      <w:r>
        <w:t xml:space="preserve">To pursue specialization in areas relevant to Wellington’s economy, such as sustainability reporting and digital asset accounting.</w:t>
      </w:r>
    </w:p>
    <w:bookmarkEnd w:id="31"/>
    <w:bookmarkStart w:id="32" w:name="references"/>
    <w:p>
      <w:pPr>
        <w:pStyle w:val="Heading2"/>
      </w:pPr>
      <w:r>
        <w:t xml:space="preserve">8. References</w:t>
      </w:r>
    </w:p>
    <w:p>
      <w:pPr>
        <w:pStyle w:val="FirstParagraph"/>
      </w:pPr>
      <w:r>
        <w:t xml:space="preserve">New Zealand Institute of Chartered Accountants. (2023).</w:t>
      </w:r>
      <w:r>
        <w:t xml:space="preserve"> </w:t>
      </w:r>
      <w:r>
        <w:rPr>
          <w:iCs/>
          <w:i/>
        </w:rPr>
        <w:t xml:space="preserve">Standards for Professional Practice.</w:t>
      </w:r>
      <w:r>
        <w:br/>
      </w:r>
      <w:r>
        <w:t xml:space="preserve">Inland Revenue Department. (2023).</w:t>
      </w:r>
      <w:r>
        <w:t xml:space="preserve"> </w:t>
      </w:r>
      <w:r>
        <w:rPr>
          <w:iCs/>
          <w:i/>
        </w:rPr>
        <w:t xml:space="preserve">Taxpayer Obligations and Compliance Standards.</w:t>
      </w:r>
      <w:r>
        <w:br/>
      </w:r>
      <w:r>
        <w:t xml:space="preserve">Wellington Chamber of Commerce. (2023).</w:t>
      </w:r>
      <w:r>
        <w:t xml:space="preserve"> </w:t>
      </w:r>
      <w:r>
        <w:rPr>
          <w:iCs/>
          <w:i/>
        </w:rPr>
        <w:t xml:space="preserve">Economic Outlook and Financial Services Sector Report.</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The Operational Framework and Regulatory Compliance of the Accountant in New Zealand Wellington</dc:title>
  <dc:creator/>
  <cp:keywords/>
  <dcterms:created xsi:type="dcterms:W3CDTF">2026-07-29T16:26:02Z</dcterms:created>
  <dcterms:modified xsi:type="dcterms:W3CDTF">2026-07-29T16:26:02Z</dcterms:modified>
</cp:coreProperties>
</file>

<file path=docProps/custom.xml><?xml version="1.0" encoding="utf-8"?>
<Properties xmlns="http://schemas.openxmlformats.org/officeDocument/2006/custom-properties" xmlns:vt="http://schemas.openxmlformats.org/officeDocument/2006/docPropsVTypes"/>
</file>