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Accounting</w:t>
      </w:r>
      <w:r>
        <w:t xml:space="preserve"> </w:t>
      </w:r>
      <w:r>
        <w:t xml:space="preserve">Practices</w:t>
      </w:r>
      <w:r>
        <w:t xml:space="preserve"> </w:t>
      </w:r>
      <w:r>
        <w:t xml:space="preserve">in</w:t>
      </w:r>
      <w:r>
        <w:t xml:space="preserve"> </w:t>
      </w:r>
      <w:r>
        <w:t xml:space="preserve">Peru</w:t>
      </w:r>
      <w:r>
        <w:t xml:space="preserve"> </w:t>
      </w:r>
      <w:r>
        <w:t xml:space="preserve">Lima</w:t>
      </w:r>
    </w:p>
    <w:tbl>
      <w:tblPr>
        <w:tblStyle w:val="Table"/>
        <w:tblW w:type="pct" w:w="5000"/>
        <w:tblLook w:firstRow="0" w:lastRow="0" w:firstColumn="0" w:lastColumn="0" w:noHBand="0" w:noVBand="0" w:val="0000"/>
      </w:tblPr>
      <w:tblGrid>
        <w:gridCol w:w="7920"/>
      </w:tblGrid>
      <w:tr>
        <w:tc>
          <w:tcPr/>
          <w:p>
            <w:pPr>
              <w:pStyle w:val="Heading1"/>
              <w:jc w:val="center"/>
            </w:pPr>
            <w:bookmarkStart w:id="20" w:name="lab-report"/>
            <w:r>
              <w:t xml:space="preserve">Lab Report</w:t>
            </w:r>
            <w:bookmarkEnd w:id="20"/>
          </w:p>
          <w:tbl>
            <w:tblPr>
              <w:tblStyle w:val="Table"/>
              <w:tblW w:type="auto" w:w="0"/>
              <w:tblLook w:firstRow="0" w:lastRow="0" w:firstColumn="0" w:lastColumn="0" w:noHBand="0" w:noVBand="0" w:val="0000"/>
            </w:tblPr>
            <w:tblGrid>
              <w:gridCol w:w="7920"/>
            </w:tblGrid>
            <w:tr>
              <w:tc>
                <w:tcPr/>
                <w:p>
                  <w:pPr>
                    <w:pStyle w:val="Compact"/>
                    <w:jc w:val="left"/>
                    <w:jc w:val="center"/>
                  </w:pPr>
                  <w:r>
                    <w:rPr>
                      <w:bCs/>
                      <w:b/>
                    </w:rPr>
                    <w:t xml:space="preserve">Date:</w:t>
                  </w:r>
                  <w:r>
                    <w:t xml:space="preserve"> </w:t>
                  </w:r>
                  <w:r>
                    <w:t xml:space="preserve">October 26, 2023</w:t>
                  </w:r>
                </w:p>
              </w:tc>
            </w:tr>
            <w:tr>
              <w:tc>
                <w:tcPr/>
                <w:p>
                  <w:pPr>
                    <w:pStyle w:val="Compact"/>
                    <w:jc w:val="left"/>
                    <w:jc w:val="center"/>
                  </w:pPr>
                  <w:r>
                    <w:rPr>
                      <w:bCs/>
                      <w:b/>
                    </w:rPr>
                    <w:t xml:space="preserve">Prepared by:</w:t>
                  </w:r>
                  <w:r>
                    <w:t xml:space="preserve"> </w:t>
                  </w:r>
                  <w:r>
                    <w:t xml:space="preserve">Senior Analyst, Compliance Division</w:t>
                  </w:r>
                </w:p>
              </w:tc>
            </w:tr>
          </w:tbl>
          <w:p>
            <w:r>
              <w:pict>
                <v:rect style="width:0;height:1.5pt" o:hralign="center" o:hrstd="t" o:hr="t"/>
              </w:pict>
            </w:r>
          </w:p>
          <w:p>
            <w:pPr>
              <w:pStyle w:val="Heading2"/>
              <w:jc w:val="center"/>
            </w:pPr>
            <w:bookmarkStart w:id="21" w:name="objective"/>
            <w:r>
              <w:t xml:space="preserve">1. Objective</w:t>
            </w:r>
            <w:bookmarkEnd w:id="21"/>
          </w:p>
          <w:p>
            <w:pPr>
              <w:jc w:val="center"/>
            </w:pPr>
            <w:r>
              <w:t xml:space="preserve">The primary objective of this Lab Report is to conduct a comprehensive analysis of the operational landscape for an Accountant working within the unique jurisdictional framework of Peru Lima . This document seeks to explore how an Accountant must adapt traditional accounting principles to align with specific Peruvian tax laws, regulatory requirements, and economic dynamics characteristic of Peru Lima . By examining these factors, this report aims to provide actionable insights into best practices for financial compliance and strategic fiscal management in this region.</w:t>
            </w:r>
          </w:p>
          <w:p>
            <w:pPr>
              <w:pStyle w:val="Heading2"/>
              <w:jc w:val="center"/>
            </w:pPr>
            <w:bookmarkStart w:id="22" w:name="contextual-overview"/>
            <w:r>
              <w:t xml:space="preserve">2. Contextual Overview</w:t>
            </w:r>
            <w:bookmarkEnd w:id="22"/>
          </w:p>
          <w:p>
            <w:pPr>
              <w:jc w:val="center"/>
            </w:pPr>
            <w:r>
              <w:t xml:space="preserve">Peru Lima serves as the economic hub of the nation, presenting both opportunities and complexities for professionals in the field of accounting. The regulatory environment here is governed primarily by SUNAT (Superintendencia Nacional de Aduanas y de Administración Tributaria), which mandates strict adherence to fiscal regulations. For any Accountant operating in this sphere, understanding these local nuances is not merely a suggestion but a fundamental requirement for professional integrity and legal compliance.</w:t>
            </w:r>
          </w:p>
          <w:p>
            <w:pPr>
              <w:pStyle w:val="Heading2"/>
              <w:jc w:val="center"/>
            </w:pPr>
            <w:bookmarkStart w:id="23" w:name="regulatory-framework-analysis"/>
            <w:r>
              <w:t xml:space="preserve">3. Regulatory Framework Analysis</w:t>
            </w:r>
            <w:bookmarkEnd w:id="23"/>
          </w:p>
          <w:p>
            <w:pPr>
              <w:jc w:val="center"/>
            </w:pPr>
            <w:r>
              <w:t xml:space="preserve">A significant portion of the analysis focuses on the specific legislative acts that impact an Accountant in Peru Lima . Key among these are the General Tax Law and various supplementary decrees issued by SUNAT. These regulations dictate everything from income tax withholding to value-added tax (IGV) reporting obligations.</w:t>
            </w:r>
          </w:p>
          <w:p>
            <w:pPr>
              <w:pStyle w:val="Heading3"/>
              <w:jc w:val="center"/>
            </w:pPr>
            <w:bookmarkStart w:id="24" w:name="value-added-tax-igv-compliance"/>
            <w:r>
              <w:t xml:space="preserve">3.1 Value Added Tax (IGV) Compliance</w:t>
            </w:r>
            <w:bookmarkEnd w:id="24"/>
          </w:p>
          <w:p>
            <w:pPr>
              <w:jc w:val="center"/>
            </w:pPr>
            <w:r>
              <w:t xml:space="preserve">In Peru Lima, the standard IGV rate is 18%. An Accountant must ensure accurate calculation and timely submission of these taxes. Failure to do so can result in severe penalties and legal repercussions for both the individual accountant and their clients or employers within Peru Lima .</w:t>
            </w:r>
          </w:p>
          <w:p>
            <w:pPr>
              <w:pStyle w:val="Heading3"/>
              <w:jc w:val="center"/>
            </w:pPr>
            <w:bookmarkStart w:id="25" w:name="corporate-income-tax"/>
            <w:r>
              <w:t xml:space="preserve">3.2 Corporate Income Tax</w:t>
            </w:r>
            <w:bookmarkEnd w:id="25"/>
          </w:p>
          <w:p>
            <w:pPr>
              <w:jc w:val="center"/>
            </w:pPr>
            <w:r>
              <w:t xml:space="preserve">The corporate income tax rate affects businesses significantly. An Accountant must be well-versed in deductible expenses, taxable income calculations, and quarterly advance payments required by law in Peru Lima . This ensures that entities remain solvent and compliant while optimizing their tax burden legally.</w:t>
            </w:r>
          </w:p>
          <w:p>
            <w:pPr>
              <w:pStyle w:val="Heading2"/>
              <w:jc w:val="center"/>
            </w:pPr>
            <w:bookmarkStart w:id="26" w:name="methodology"/>
            <w:r>
              <w:t xml:space="preserve">4. Methodology</w:t>
            </w:r>
            <w:bookmarkEnd w:id="26"/>
          </w:p>
          <w:p>
            <w:pPr>
              <w:jc w:val="center"/>
            </w:pPr>
            <w:r>
              <w:t xml:space="preserve">To achieve the objectives outlined above, this Lab Report employed a qualitative research methodology supplemented by quantitative data analysis of recent fiscal periods in Peru Lima . The process involved reviewing current SUNAT guidelines, interviewing practicing Accountants active in Peru Lima , and analyzing case studies where compliance failures or successes occurred.</w:t>
            </w:r>
          </w:p>
          <w:p>
            <w:pPr>
              <w:jc w:val="center"/>
            </w:pPr>
            <w:r>
              <w:rPr>
                <w:iCs/>
                <w:i/>
              </w:rPr>
              <w:t xml:space="preserve">Data Collection:</w:t>
            </w:r>
            <w:r>
              <w:t xml:space="preserve"> </w:t>
            </w:r>
            <w:r>
              <w:t xml:space="preserve">Primary sources included official publications from the Peruvian Ministry of Economy and Finance. Secondary sources comprised academic journals discussing financial practices in Latin America with a specific focus on Peru Lima .</w:t>
            </w:r>
          </w:p>
          <w:p>
            <w:pPr>
              <w:pStyle w:val="Heading2"/>
              <w:jc w:val="center"/>
            </w:pPr>
            <w:bookmarkStart w:id="27" w:name="findings"/>
            <w:r>
              <w:t xml:space="preserve">5. Findings</w:t>
            </w:r>
            <w:bookmarkEnd w:id="27"/>
          </w:p>
          <w:p>
            <w:pPr>
              <w:jc w:val="center"/>
            </w:pPr>
            <w:r>
              <w:t xml:space="preserve">The investigation yielded several critical findings regarding the role of an Accountant in Peru Lima :</w:t>
            </w:r>
          </w:p>
          <w:p>
            <w:pPr>
              <w:numPr>
                <w:ilvl w:val="0"/>
                <w:numId w:val="1001"/>
              </w:numPr>
              <w:pStyle w:val="Compact"/>
              <w:jc w:val="center"/>
            </w:pPr>
            <w:r>
              <w:rPr>
                <w:bCs/>
                <w:b/>
              </w:rPr>
              <w:t xml:space="preserve">Digitalization Trends:</w:t>
            </w:r>
            <w:r>
              <w:t xml:space="preserve"> </w:t>
            </w:r>
            <w:r>
              <w:t xml:space="preserve">There is a marked shift towards digital invoicing and electronic tax filing in Peru Lima . An Accountant must be proficient with SUNAT's online platforms.</w:t>
            </w:r>
          </w:p>
          <w:p>
            <w:pPr>
              <w:numPr>
                <w:ilvl w:val="0"/>
                <w:numId w:val="1001"/>
              </w:numPr>
              <w:pStyle w:val="Compact"/>
              <w:jc w:val="center"/>
            </w:pPr>
            <w:r>
              <w:rPr>
                <w:bCs/>
                <w:b/>
              </w:rPr>
              <w:t xml:space="preserve">Regulatory Volatility:</w:t>
            </w:r>
            <w:r>
              <w:t xml:space="preserve"> </w:t>
            </w:r>
            <w:r>
              <w:t xml:space="preserve">Tax laws in Peru Lima can change frequently. Continuous education is essential for an Accountant to stay updated.</w:t>
            </w:r>
          </w:p>
          <w:p>
            <w:pPr>
              <w:numPr>
                <w:ilvl w:val="0"/>
                <w:numId w:val="1001"/>
              </w:numPr>
              <w:pStyle w:val="Compact"/>
              <w:jc w:val="center"/>
            </w:pPr>
            <w:r>
              <w:rPr>
                <w:bCs/>
                <w:b/>
              </w:rPr>
              <w:t xml:space="preserve">Auditing Rigor:</w:t>
            </w:r>
            <w:r>
              <w:t xml:space="preserve"> </w:t>
            </w:r>
            <w:r>
              <w:t xml:space="preserve">SUNAT conducts frequent audits. An Accountant must maintain meticulous records to withstand scrutiny in Peru Lima .</w:t>
            </w:r>
          </w:p>
          <w:p>
            <w:pPr>
              <w:pStyle w:val="Heading2"/>
              <w:jc w:val="center"/>
            </w:pPr>
            <w:bookmarkStart w:id="28" w:name="discussion"/>
            <w:r>
              <w:t xml:space="preserve">6. Discussion</w:t>
            </w:r>
            <w:bookmarkEnd w:id="28"/>
          </w:p>
          <w:p>
            <w:pPr>
              <w:jc w:val="center"/>
            </w:pPr>
            <w:r>
              <w:t xml:space="preserve">The findings highlight the demanding nature of being an Accountant in Peru Lima . The interplay between international accounting standards and local Peruvian regulations creates a complex environment. For instance, while IFRS (International Financial Reporting Standards) are adopted, local tax laws often diverge for domestic entities. An Accountant must navigate this dichotomy effectively to provide accurate financial statements that satisfy both local authorities in Peru Lima and international stakeholders if applicable.</w:t>
            </w:r>
          </w:p>
          <w:p>
            <w:pPr>
              <w:jc w:val="center"/>
            </w:pPr>
            <w:r>
              <w:t xml:space="preserve">Furthermore, the economic instability occasionally faced by Peru Lima necessitates that an Accountant adopt a conservative approach to revenue recognition and expense allocation. This ensures stability during fluctuating market conditions, protecting the interests of the business entity within this specific geographical context.</w:t>
            </w:r>
          </w:p>
          <w:p>
            <w:pPr>
              <w:pStyle w:val="Heading2"/>
              <w:jc w:val="center"/>
            </w:pPr>
            <w:bookmarkStart w:id="29" w:name="conclusion"/>
            <w:r>
              <w:t xml:space="preserve">7. Conclusion</w:t>
            </w:r>
            <w:bookmarkEnd w:id="29"/>
          </w:p>
          <w:p>
            <w:pPr>
              <w:jc w:val="center"/>
            </w:pPr>
            <w:r>
              <w:t xml:space="preserve">In conclusion, this Lab Report underscores the critical importance of specialized knowledge for any Accountant operating in Peru Lima . The regulatory landscape is rigorous, and the expectations for compliance are high. Success in this region requires more than just technical accounting skills; it demands a deep understanding of Peruvian law, proactive adaptation to regulatory changes in Peru Lima , and a commitment to ethical financial practices.</w:t>
            </w:r>
          </w:p>
          <w:p>
            <w:pPr>
              <w:jc w:val="center"/>
            </w:pPr>
            <w:r>
              <w:t xml:space="preserve">For firms looking to establish operations or expand existing ones in Peru Lima , partnering with an experienced Accountant is crucial for mitigating risk and ensuring long-term fiscal health. The insights provided here serve as a foundational guide for navigating these challenges.</w:t>
            </w:r>
          </w:p>
          <w:p>
            <w:pPr>
              <w:pStyle w:val="Heading2"/>
              <w:jc w:val="center"/>
            </w:pPr>
            <w:bookmarkStart w:id="30" w:name="recommendations"/>
            <w:r>
              <w:t xml:space="preserve">8. Recommendations</w:t>
            </w:r>
            <w:bookmarkEnd w:id="30"/>
          </w:p>
          <w:p>
            <w:pPr>
              <w:jc w:val="center"/>
            </w:pPr>
            <w:r>
              <w:t xml:space="preserve">Based on the analysis conducted in this Lab Report, the following recommendations are proposed for Accountants and businesses in Peru Lima :</w:t>
            </w:r>
          </w:p>
          <w:p>
            <w:pPr>
              <w:numPr>
                <w:ilvl w:val="0"/>
                <w:numId w:val="1002"/>
              </w:numPr>
              <w:pStyle w:val="Compact"/>
              <w:jc w:val="center"/>
            </w:pPr>
            <w:r>
              <w:rPr>
                <w:bCs/>
                <w:b/>
              </w:rPr>
              <w:t xml:space="preserve">Ongoing Training:</w:t>
            </w:r>
            <w:r>
              <w:t xml:space="preserve"> </w:t>
            </w:r>
            <w:r>
              <w:t xml:space="preserve">Implement continuous professional development programs focused on recent tax reforms affecting Peru Lima .</w:t>
            </w:r>
          </w:p>
          <w:p>
            <w:pPr>
              <w:numPr>
                <w:ilvl w:val="0"/>
                <w:numId w:val="1002"/>
              </w:numPr>
              <w:pStyle w:val="Compact"/>
              <w:jc w:val="center"/>
            </w:pPr>
            <w:r>
              <w:rPr>
                <w:bCs/>
                <w:b/>
              </w:rPr>
              <w:t xml:space="preserve">Technology Integration:</w:t>
            </w:r>
            <w:r>
              <w:t xml:space="preserve"> </w:t>
            </w:r>
            <w:r>
              <w:t xml:space="preserve">Invest in accounting software compatible with SUNAT requirements to streamline operations in Peru Lima .</w:t>
            </w:r>
          </w:p>
          <w:p>
            <w:pPr>
              <w:numPr>
                <w:ilvl w:val="0"/>
                <w:numId w:val="1002"/>
              </w:numPr>
              <w:pStyle w:val="Compact"/>
              <w:jc w:val="center"/>
            </w:pPr>
            <w:r>
              <w:rPr>
                <w:bCs/>
                <w:b/>
              </w:rPr>
              <w:t xml:space="preserve">Regular Audits:</w:t>
            </w:r>
            <w:r>
              <w:t xml:space="preserve"> </w:t>
            </w:r>
            <w:r>
              <w:t xml:space="preserve">Conduct internal audits periodically to identify and rectify potential compliance issues before they escalate in Peru Lima .</w:t>
            </w:r>
          </w:p>
          <w:p>
            <w:pPr>
              <w:pStyle w:val="Heading2"/>
              <w:jc w:val="center"/>
            </w:pPr>
            <w:bookmarkStart w:id="31" w:name="references"/>
            <w:r>
              <w:t xml:space="preserve">9. References</w:t>
            </w:r>
            <w:bookmarkEnd w:id="31"/>
          </w:p>
          <w:p>
            <w:pPr>
              <w:jc w:val="center"/>
            </w:pPr>
            <w:r>
              <w:t xml:space="preserve">The references below support the data and assertions made in this Lab Report concerning accounting practices in Peru Lima :</w:t>
            </w:r>
          </w:p>
          <w:p>
            <w:pPr>
              <w:numPr>
                <w:ilvl w:val="0"/>
                <w:numId w:val="1003"/>
              </w:numPr>
              <w:pStyle w:val="Compact"/>
              <w:jc w:val="center"/>
            </w:pPr>
            <w:r>
              <w:t xml:space="preserve">SUNAT Official Portals and Publications on Tax Regulations.</w:t>
            </w:r>
          </w:p>
          <w:p>
            <w:pPr>
              <w:numPr>
                <w:ilvl w:val="0"/>
                <w:numId w:val="1003"/>
              </w:numPr>
              <w:pStyle w:val="Compact"/>
              <w:jc w:val="center"/>
            </w:pPr>
            <w:r>
              <w:t xml:space="preserve">Ministry of Economy and Finance (MINEF) Reports on Fiscal Policy in Peru Lima .</w:t>
            </w:r>
          </w:p>
          <w:p>
            <w:pPr>
              <w:numPr>
                <w:ilvl w:val="0"/>
                <w:numId w:val="1003"/>
              </w:numPr>
              <w:pStyle w:val="Compact"/>
              <w:jc w:val="center"/>
            </w:pPr>
            <w:r>
              <w:rPr>
                <w:iCs/>
                <w:i/>
              </w:rPr>
              <w:t xml:space="preserve">Journal of Latin American Financial Studies</w:t>
            </w:r>
            <w:r>
              <w:t xml:space="preserve">, Articles related to accounting standards in Peru Lima .</w:t>
            </w:r>
          </w:p>
        </w:tc>
      </w:tr>
    </w:tbl>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Accounting Practices in Peru Lima</dc:title>
  <dc:creator/>
  <dc:language>en</dc:language>
  <cp:keywords/>
  <dcterms:created xsi:type="dcterms:W3CDTF">2026-07-29T18:37:39Z</dcterms:created>
  <dcterms:modified xsi:type="dcterms:W3CDTF">2026-07-29T18:37:39Z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