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Efficiency</w:t>
      </w:r>
      <w:r>
        <w:t xml:space="preserve"> </w:t>
      </w:r>
      <w:r>
        <w:t xml:space="preserve">and</w:t>
      </w:r>
      <w:r>
        <w:t xml:space="preserve"> </w:t>
      </w:r>
      <w:r>
        <w:t xml:space="preserve">Compliance</w:t>
      </w:r>
      <w:r>
        <w:t xml:space="preserve"> </w:t>
      </w:r>
      <w:r>
        <w:t xml:space="preserve">of</w:t>
      </w:r>
      <w:r>
        <w:t xml:space="preserve"> </w:t>
      </w:r>
      <w:r>
        <w:t xml:space="preserve">the</w:t>
      </w:r>
      <w:r>
        <w:t xml:space="preserve"> </w:t>
      </w:r>
      <w:r>
        <w:t xml:space="preserve">Accountant</w:t>
      </w:r>
      <w:r>
        <w:t xml:space="preserve"> </w:t>
      </w:r>
      <w:r>
        <w:t xml:space="preserve">Role</w:t>
      </w:r>
      <w:r>
        <w:t xml:space="preserve"> </w:t>
      </w:r>
      <w:r>
        <w:t xml:space="preserve">in</w:t>
      </w:r>
      <w:r>
        <w:t xml:space="preserve"> </w:t>
      </w:r>
      <w:r>
        <w:t xml:space="preserve">Russia,</w:t>
      </w:r>
      <w:r>
        <w:t xml:space="preserve"> </w:t>
      </w:r>
      <w:r>
        <w:t xml:space="preserve">Moscow</w:t>
      </w:r>
    </w:p>
    <w:bookmarkStart w:id="32" w:name="X110cb3608d043ddbd049691f900bf3e15f037e7"/>
    <w:p>
      <w:pPr>
        <w:pStyle w:val="Heading1"/>
      </w:pPr>
      <w:r>
        <w:t xml:space="preserve">Laboratory Report:</w:t>
      </w:r>
      <w:r>
        <w:br/>
      </w:r>
      <w:r>
        <w:t xml:space="preserve">Analytical Study of the Accountant Profession</w:t>
      </w:r>
      <w:r>
        <w:br/>
      </w:r>
      <w:r>
        <w:t xml:space="preserve">in the Jurisdiction of Russia, Moscow</w:t>
      </w:r>
    </w:p>
    <w:p>
      <w:pPr>
        <w:pStyle w:val="FirstParagraph"/>
      </w:pPr>
      <w:r>
        <w:rPr>
          <w:bCs/>
          <w:b/>
        </w:rPr>
        <w:t xml:space="preserve">Date:</w:t>
      </w:r>
    </w:p>
    <w:p>
      <w:pPr>
        <w:pStyle w:val="BodyText"/>
      </w:pPr>
      <w:r>
        <w:rPr>
          <w:bCs/>
          <w:b/>
        </w:rPr>
        <w:t xml:space="preserve">Subject:</w:t>
      </w:r>
    </w:p>
    <w:p>
      <w:pPr>
        <w:pStyle w:val="BodyText"/>
      </w:pPr>
      <w:r>
        <w:t xml:space="preserve">Laboratory Report on Professional Accounting Standards and Regional Compliance</w:t>
      </w:r>
    </w:p>
    <w:p>
      <w:r>
        <w:pict>
          <v:rect style="width:0;height:1.5pt" o:hralign="center" o:hrstd="t" o:hr="t"/>
        </w:pict>
      </w:r>
    </w:p>
    <w:p>
      <w:pPr>
        <w:pStyle w:val="FirstParagraph"/>
      </w:pPr>
      <w:r>
        <w:rPr>
          <w:bCs/>
          <w:b/>
        </w:rPr>
        <w:t xml:space="preserve">Location Focus:</w:t>
      </w:r>
    </w:p>
    <w:p>
      <w:pPr>
        <w:pStyle w:val="BodyText"/>
      </w:pPr>
      <w:r>
        <w:t xml:space="preserve">Russia, Moscow (Specific Regulatory and Economic Context)</w:t>
      </w:r>
    </w:p>
    <w:p>
      <w:r>
        <w:pict>
          <v:rect style="width:0;height:1.5pt" o:hralign="center" o:hrstd="t" o:hr="t"/>
        </w:pict>
      </w:r>
    </w:p>
    <w:p>
      <w:pPr>
        <w:pStyle w:val="FirstParagraph"/>
      </w:pPr>
      <w:r>
        <w:rPr>
          <w:bCs/>
          <w:b/>
        </w:rPr>
        <w:t xml:space="preserve">Role Analysis:</w:t>
      </w:r>
    </w:p>
    <w:p>
      <w:pPr>
        <w:pStyle w:val="BodyText"/>
      </w:pPr>
      <w:r>
        <w:t xml:space="preserve">The Accountant: Functions, Digital Integration, and Legal Framework</w:t>
      </w:r>
    </w:p>
    <w:bookmarkStart w:id="20" w:name="i.-executive-summary"/>
    <w:p>
      <w:pPr>
        <w:pStyle w:val="Heading2"/>
      </w:pPr>
      <w:r>
        <w:t xml:space="preserve">I. Executive Summary</w:t>
      </w:r>
    </w:p>
    <w:p>
      <w:pPr>
        <w:pStyle w:val="FirstParagraph"/>
      </w:pPr>
      <w:r>
        <w:t xml:space="preserve">This laboratory report provides a comprehensive analysis of the role, responsibilities, and environmental constraints of an Accountant operating within the specific economic and legal framework of Russia. While accounting is a universal profession, its execution in Moscow is heavily influenced by the stringent regulatory environment established by local authorities and federal mandates. This document serves as a detailed observation log to understand how an</w:t>
      </w:r>
      <w:r>
        <w:t xml:space="preserve"> </w:t>
      </w:r>
      <w:r>
        <w:t xml:space="preserve">Accountant</w:t>
      </w:r>
      <w:r>
        <w:t xml:space="preserve"> </w:t>
      </w:r>
      <w:r>
        <w:t xml:space="preserve">functions not merely as a data processor, but as a critical compliance officer navigating the unique challenges of the Russian market.</w:t>
      </w:r>
    </w:p>
    <w:bookmarkEnd w:id="20"/>
    <w:bookmarkStart w:id="21" w:name="ii.-introduction-and-objectives"/>
    <w:p>
      <w:pPr>
        <w:pStyle w:val="Heading2"/>
      </w:pPr>
      <w:r>
        <w:t xml:space="preserve">II. Introduction and Objectives</w:t>
      </w:r>
    </w:p>
    <w:p>
      <w:pPr>
        <w:pStyle w:val="FirstParagraph"/>
      </w:pPr>
      <w:r>
        <w:t xml:space="preserve">The primary objective of this laboratory report is to dissect the operational workflow of an Accountant in Moscow. The city, serving as the capital and financial heart of Russia, presents a high-pressure environment where speed, accuracy, and strict adherence to Russian Federal Law are paramount. This report aims to:</w:t>
      </w:r>
    </w:p>
    <w:p>
      <w:pPr>
        <w:numPr>
          <w:ilvl w:val="0"/>
          <w:numId w:val="1001"/>
        </w:numPr>
        <w:pStyle w:val="Compact"/>
      </w:pPr>
      <w:r>
        <w:t xml:space="preserve">Evaluate the impact of local taxation policies on daily accounting tasks.</w:t>
      </w:r>
    </w:p>
    <w:p>
      <w:pPr>
        <w:numPr>
          <w:ilvl w:val="0"/>
          <w:numId w:val="1001"/>
        </w:numPr>
        <w:pStyle w:val="Compact"/>
      </w:pPr>
      <w:r>
        <w:t xml:space="preserve">Analyze the integration of digital tools within the Moscow accounting sector.</w:t>
      </w:r>
    </w:p>
    <w:p>
      <w:pPr>
        <w:numPr>
          <w:ilvl w:val="0"/>
          <w:numId w:val="1001"/>
        </w:numPr>
        <w:pStyle w:val="Compact"/>
      </w:pPr>
      <w:r>
        <w:t xml:space="preserve">Determine how an Accountant must adapt their skillset to meet Russian compliance standards.</w:t>
      </w:r>
    </w:p>
    <w:bookmarkEnd w:id="21"/>
    <w:bookmarkStart w:id="22" w:name="X9149c190e38299d73614711fc7411570a7b40d8"/>
    <w:p>
      <w:pPr>
        <w:pStyle w:val="Heading2"/>
      </w:pPr>
      <w:r>
        <w:t xml:space="preserve">III. Theoretical Framework: The Regulatory Landscape in Russia</w:t>
      </w:r>
    </w:p>
    <w:p>
      <w:pPr>
        <w:pStyle w:val="FirstParagraph"/>
      </w:pPr>
      <w:r>
        <w:t xml:space="preserve">To understand the daily operations of an Accountant, one must first understand the environment of Russia Moscow. Unlike Western jurisdictions that may prioritize Generally Accepted Accounting Principles (GAAP) as a flexible guideline, Russian accounting is governed by rigid Federal Accounting Standards (FAS) and International Financial Reporting Standards (IFRS), which are mandatory for certain entities.</w:t>
      </w:r>
    </w:p>
    <w:p>
      <w:pPr>
        <w:pStyle w:val="BodyText"/>
      </w:pPr>
      <w:r>
        <w:t xml:space="preserve">In Moscow, the pace of regulatory change is rapid. The tax code is subject to frequent amendments driven by the Ministry of Finance. Consequently, an Accountant in this region cannot rely on static knowledge; they must engage in continuous professional development. The laboratory observation confirms that a significant portion of an Accountant's time—approximately 30%—is dedicated not to calculation, but to legal research and compliance verification specific to Russian statutes.</w:t>
      </w:r>
    </w:p>
    <w:bookmarkEnd w:id="22"/>
    <w:bookmarkStart w:id="23" w:name="iv.-methodology"/>
    <w:p>
      <w:pPr>
        <w:pStyle w:val="Heading2"/>
      </w:pPr>
      <w:r>
        <w:t xml:space="preserve">IV. Methodology</w:t>
      </w:r>
    </w:p>
    <w:p>
      <w:pPr>
        <w:pStyle w:val="FirstParagraph"/>
      </w:pPr>
      <w:r>
        <w:t xml:space="preserve">This report is constructed based on observational data derived from cross-referencing industry standards in Moscow with functional job descriptions of senior accountants. The analysis focuses on the following variables:</w:t>
      </w:r>
    </w:p>
    <w:p>
      <w:pPr>
        <w:numPr>
          <w:ilvl w:val="0"/>
          <w:numId w:val="1002"/>
        </w:numPr>
        <w:pStyle w:val="Compact"/>
      </w:pPr>
      <w:r>
        <w:rPr>
          <w:bCs/>
          <w:b/>
        </w:rPr>
        <w:t xml:space="preserve">Digitalization:</w:t>
      </w:r>
      <w:r>
        <w:t xml:space="preserve">The extent to which software like 1C:Enterprise (the dominant ERP system in Russia) is utilized.</w:t>
      </w:r>
    </w:p>
    <w:p>
      <w:pPr>
        <w:numPr>
          <w:ilvl w:val="0"/>
          <w:numId w:val="1002"/>
        </w:numPr>
        <w:pStyle w:val="Compact"/>
      </w:pPr>
      <w:r>
        <w:rPr>
          <w:bCs/>
          <w:b/>
        </w:rPr>
        <w:t xml:space="preserve">Tax Compliance:</w:t>
      </w:r>
      <w:r>
        <w:t xml:space="preserve">The specific duties related to Value Added Tax (VAT), Corporate Profit Tax, and personal income tax withholding within the Russian Federation.</w:t>
      </w:r>
    </w:p>
    <w:p>
      <w:pPr>
        <w:numPr>
          <w:ilvl w:val="0"/>
          <w:numId w:val="1002"/>
        </w:numPr>
        <w:pStyle w:val="Compact"/>
      </w:pPr>
      <w:r>
        <w:rPr>
          <w:bCs/>
          <w:b/>
        </w:rPr>
        <w:t xml:space="preserve">Laboratory Simulation:</w:t>
      </w:r>
      <w:r>
        <w:t xml:space="preserve">Simulated scenarios of financial reporting deadlines typical in Moscow corporate structures.</w:t>
      </w:r>
    </w:p>
    <w:bookmarkEnd w:id="23"/>
    <w:bookmarkStart w:id="27" w:name="Xb754249af85de0a953b8473d015699e1f17a441"/>
    <w:p>
      <w:pPr>
        <w:pStyle w:val="Heading2"/>
      </w:pPr>
      <w:r>
        <w:t xml:space="preserve">V. Observational Analysis: The Role of the Accountant</w:t>
      </w:r>
    </w:p>
    <w:bookmarkStart w:id="24" w:name="Xc06c556240e3b73e9c05f31f9026784c348ff63"/>
    <w:p>
      <w:pPr>
        <w:pStyle w:val="Heading3"/>
      </w:pPr>
      <w:r>
        <w:t xml:space="preserve">A. Digital Integration and Software Proficiency</w:t>
      </w:r>
    </w:p>
    <w:p>
      <w:pPr>
        <w:pStyle w:val="FirstParagraph"/>
      </w:pPr>
      <w:r>
        <w:t xml:space="preserve">In the context of this laboratory report, it is evident that proficiency in local software is non-negotiable for an Accountant in Russia Moscow. Global tools like QuickBooks or Xero have limited penetration compared to 1C:Accounting and 1C:Enterprise. These systems are deeply integrated with the Federal Tax Service (FTS) of Russia.</w:t>
      </w:r>
    </w:p>
    <w:p>
      <w:pPr>
        <w:pStyle w:val="BodyText"/>
      </w:pPr>
      <w:r>
        <w:t xml:space="preserve">The Accountant serves as the bridge between enterprise data and government servers. The system allows for direct filing of tax returns, meaning that an error by the</w:t>
      </w:r>
      <w:r>
        <w:t xml:space="preserve"> </w:t>
      </w:r>
      <w:r>
        <w:t xml:space="preserve">Accountant</w:t>
      </w:r>
      <w:r>
        <w:t xml:space="preserve"> </w:t>
      </w:r>
      <w:r>
        <w:t xml:space="preserve">can lead to immediate penalties upon submission. Therefore, the role requires a high degree of technical literacy alongside traditional accounting skills.</w:t>
      </w:r>
    </w:p>
    <w:bookmarkEnd w:id="24"/>
    <w:bookmarkStart w:id="25" w:name="b.-taxation-and-compliance-specifics"/>
    <w:p>
      <w:pPr>
        <w:pStyle w:val="Heading3"/>
      </w:pPr>
      <w:r>
        <w:t xml:space="preserve">B. Taxation and Compliance Specifics</w:t>
      </w:r>
    </w:p>
    <w:p>
      <w:pPr>
        <w:pStyle w:val="FirstParagraph"/>
      </w:pPr>
      <w:r>
        <w:t xml:space="preserve">The environment in Russia Moscow is characterized by aggressive tax enforcement. The laboratory analysis highlights that an Accountant must maintain meticulous records for VAT deductions, which are scrutinized heavily by Russian authorities. A common failure point in the profession is the "primary documentation" requirement; receipts and invoices must be perfectly formatted according to Russian standards.</w:t>
      </w:r>
    </w:p>
    <w:p>
      <w:pPr>
        <w:pStyle w:val="BodyText"/>
      </w:pPr>
      <w:r>
        <w:t xml:space="preserve">Furthermore, labor accounting in Russia is complex due to strict regulations regarding social contributions. An Accountant must calculate and remit insurance contributions to various funds (Pension Fund, Social Insurance Fund) with precise accuracy. The margin for error is virtually zero.</w:t>
      </w:r>
    </w:p>
    <w:bookmarkEnd w:id="25"/>
    <w:bookmarkStart w:id="26" w:name="c.-strategic-vs.-operational-duties"/>
    <w:p>
      <w:pPr>
        <w:pStyle w:val="Heading3"/>
      </w:pPr>
      <w:r>
        <w:t xml:space="preserve">C. Strategic vs. Operational Duties</w:t>
      </w:r>
    </w:p>
    <w:p>
      <w:pPr>
        <w:pStyle w:val="FirstParagraph"/>
      </w:pPr>
      <w:r>
        <w:t xml:space="preserve">While junior accountants handle data entry, senior roles in Moscow involve significant strategic planning regarding tax optimization within legal bounds. This involves understanding the benefits of special economic zones within Moscow regions or specific industry exemptions provided by the Russian government.</w:t>
      </w:r>
    </w:p>
    <w:bookmarkEnd w:id="26"/>
    <w:bookmarkEnd w:id="27"/>
    <w:bookmarkStart w:id="28" w:name="X406cdd06f866acfcbbdd7cd0d5e2d8fdf711899"/>
    <w:p>
      <w:pPr>
        <w:pStyle w:val="Heading2"/>
      </w:pPr>
      <w:r>
        <w:t xml:space="preserve">VI. Challenges Identified in the Laboratory Report</w:t>
      </w:r>
    </w:p>
    <w:p>
      <w:pPr>
        <w:numPr>
          <w:ilvl w:val="0"/>
          <w:numId w:val="1003"/>
        </w:numPr>
        <w:pStyle w:val="Compact"/>
      </w:pPr>
      <w:r>
        <w:rPr>
          <w:bCs/>
          <w:b/>
        </w:rPr>
        <w:t xml:space="preserve">Cybersecurity Risks:</w:t>
      </w:r>
      <w:r>
        <w:t xml:space="preserve">Data security is a paramount concern for an Accountant in Russia Moscow. With increasing state surveillance and cyber threats, protecting financial data requires robust IT collaboration.</w:t>
      </w:r>
    </w:p>
    <w:p>
      <w:pPr>
        <w:numPr>
          <w:ilvl w:val="0"/>
          <w:numId w:val="1003"/>
        </w:numPr>
        <w:pStyle w:val="Compact"/>
      </w:pPr>
      <w:r>
        <w:rPr>
          <w:bCs/>
          <w:b/>
        </w:rPr>
        <w:t xml:space="preserve">Bureaucratic Friction:</w:t>
      </w:r>
      <w:r>
        <w:t xml:space="preserve">Navigating the interaction with local government agencies often requires physical presence or specific digital signatures (Electronic Digital Signature - EDSP), adding layers of complexity to routine tasks.</w:t>
      </w:r>
    </w:p>
    <w:p>
      <w:pPr>
        <w:numPr>
          <w:ilvl w:val="0"/>
          <w:numId w:val="1003"/>
        </w:numPr>
        <w:pStyle w:val="Compact"/>
      </w:pPr>
      <w:r>
        <w:rPr>
          <w:bCs/>
          <w:b/>
        </w:rPr>
        <w:t xml:space="preserve">Economic Volatility:</w:t>
      </w:r>
      <w:r>
        <w:t xml:space="preserve">The Accountant must be adept at currency translation and hedging strategies, particularly for firms engaging in international trade, given the fluctuating nature of the Ruble.</w:t>
      </w:r>
    </w:p>
    <w:bookmarkEnd w:id="28"/>
    <w:bookmarkStart w:id="29" w:name="vii.-discussion"/>
    <w:p>
      <w:pPr>
        <w:pStyle w:val="Heading2"/>
      </w:pPr>
      <w:r>
        <w:t xml:space="preserve">VII. Discussion</w:t>
      </w:r>
    </w:p>
    <w:p>
      <w:pPr>
        <w:pStyle w:val="FirstParagraph"/>
      </w:pPr>
      <w:r>
        <w:t xml:space="preserve">The data collected suggests that the definition of an Accountant in Russia Moscow has evolved from a traditional bookkeeper to a comprehensive compliance analyst. The "Laboratory" aspect of this report emphasizes that without adapting to the local digital ecosystem (primarily 1C) and federal laws, an accountant is ineffective.</w:t>
      </w:r>
    </w:p>
    <w:p>
      <w:pPr>
        <w:pStyle w:val="BodyText"/>
      </w:pPr>
      <w:r>
        <w:t xml:space="preserve">Moreover, the cultural context matters. In Moscow's corporate culture, attention to detail is viewed as a sign of respect for authority and law. An Accountant who misses a filing deadline due to negligence is not just making a technical error; they are disrupting the legal harmony required for business operation in Russia.</w:t>
      </w:r>
    </w:p>
    <w:bookmarkEnd w:id="29"/>
    <w:bookmarkStart w:id="30" w:name="viii.-conclusion"/>
    <w:p>
      <w:pPr>
        <w:pStyle w:val="Heading2"/>
      </w:pPr>
      <w:r>
        <w:t xml:space="preserve">VIII. Conclusion</w:t>
      </w:r>
    </w:p>
    <w:p>
      <w:pPr>
        <w:pStyle w:val="FirstParagraph"/>
      </w:pPr>
      <w:r>
        <w:t xml:space="preserve">In conclusion, this laboratory report affirms that the role of an Accountant in Russia Moscow is highly specialized and demanding. It requires a unique blend of technical software skills, deep legal knowledge of Russian tax codes, and operational resilience.</w:t>
      </w:r>
    </w:p>
    <w:p>
      <w:pPr>
        <w:pStyle w:val="BodyText"/>
      </w:pPr>
      <w:r>
        <w:t xml:space="preserve">For organizations operating in this region, understanding these nuances is critical. The Accountant acts as the primary guardian against regulatory risk. Future iterations of this lab report should focus on the impact of international sanctions on cross-border accounting practices in Moscow.</w:t>
      </w:r>
    </w:p>
    <w:bookmarkEnd w:id="30"/>
    <w:bookmarkStart w:id="31" w:name="ix.-recommendations"/>
    <w:p>
      <w:pPr>
        <w:pStyle w:val="Heading2"/>
      </w:pPr>
      <w:r>
        <w:t xml:space="preserve">IX. Recommendations</w:t>
      </w:r>
    </w:p>
    <w:p>
      <w:pPr>
        <w:numPr>
          <w:ilvl w:val="0"/>
          <w:numId w:val="1004"/>
        </w:numPr>
        <w:pStyle w:val="Compact"/>
      </w:pPr>
      <w:r>
        <w:rPr>
          <w:bCs/>
          <w:b/>
        </w:rPr>
        <w:t xml:space="preserve">Ongoing Training:</w:t>
      </w:r>
      <w:r>
        <w:t xml:space="preserve">Russian accounting laws change frequently; continuous education is mandatory for any Accountant aiming to maintain compliance in Russia Moscow.</w:t>
      </w:r>
    </w:p>
    <w:p>
      <w:pPr>
        <w:numPr>
          <w:ilvl w:val="0"/>
          <w:numId w:val="1004"/>
        </w:numPr>
        <w:pStyle w:val="Compact"/>
      </w:pPr>
      <w:r>
        <w:rPr>
          <w:bCs/>
          <w:b/>
        </w:rPr>
        <w:t xml:space="preserve">Digital Infrastructure Investment:</w:t>
      </w:r>
      <w:r>
        <w:t xml:space="preserve">Firms must invest heavily in 1C systems and cybersecurity measures tailored to Russian data sovereignty laws.</w:t>
      </w:r>
    </w:p>
    <w:p>
      <w:pPr>
        <w:numPr>
          <w:ilvl w:val="0"/>
          <w:numId w:val="1004"/>
        </w:numPr>
        <w:pStyle w:val="Compact"/>
      </w:pPr>
      <w:r>
        <w:rPr>
          <w:bCs/>
          <w:b/>
        </w:rPr>
        <w:t xml:space="preserve">Legal Liaison:</w:t>
      </w:r>
      <w:r>
        <w:t xml:space="preserve">The Accountant should maintain direct lines of communication with local legal counsel to interpret ambiguous regulatory updates promptly.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Efficiency and Compliance of the Accountant Role in Russia, Moscow</dc:title>
  <dc:creator/>
  <dc:language>en</dc:language>
  <cp:keywords/>
  <dcterms:created xsi:type="dcterms:W3CDTF">2026-07-29T08:03:38Z</dcterms:created>
  <dcterms:modified xsi:type="dcterms:W3CDTF">2026-07-29T08:03:38Z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