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Accounting</w:t>
      </w:r>
      <w:r>
        <w:t xml:space="preserve"> </w:t>
      </w:r>
      <w:r>
        <w:t xml:space="preserve">Standards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Singapore</w:t>
      </w:r>
    </w:p>
    <w:bookmarkStart w:id="20" w:name="Xa4e22d8f61e04cd4bfb0d2f7dd54f8c16ce7dfb"/>
    <w:p>
      <w:pPr>
        <w:pStyle w:val="Heading1"/>
      </w:pPr>
      <w:r>
        <w:t xml:space="preserve">Laboratory Report on Professional Accounting Practices</w:t>
      </w:r>
    </w:p>
    <w:p>
      <w:pPr>
        <w:pStyle w:val="FirstParagraph"/>
      </w:pPr>
      <w:r>
        <w:rPr>
          <w:bCs/>
          <w:b/>
        </w:rPr>
        <w:t xml:space="preserve">Focused Entity:</w:t>
      </w:r>
      <w:r>
        <w:t xml:space="preserve"> </w:t>
      </w:r>
      <w:r>
        <w:t xml:space="preserve">Accountant</w:t>
      </w:r>
      <w:r>
        <w:br/>
      </w:r>
      <w:r>
        <w:rPr>
          <w:bCs/>
          <w:b/>
        </w:rPr>
        <w:t xml:space="preserve">Jurisdictional Context:</w:t>
      </w:r>
      <w:r>
        <w:t xml:space="preserve"> </w:t>
      </w:r>
      <w:r>
        <w:t xml:space="preserve">Singapore Singapore</w:t>
      </w:r>
      <w:r>
        <w:br/>
      </w:r>
      <w:r>
        <w:rPr>
          <w:bCs/>
          <w:b/>
        </w:rPr>
        <w:t xml:space="preserve">Date of Analysis:</w:t>
      </w:r>
      <w:r>
        <w:t xml:space="preserve"> </w:t>
      </w:r>
      <w:r>
        <w:t xml:space="preserve">October 2023</w:t>
      </w:r>
      <w:r>
        <w:br/>
      </w:r>
      <w:r>
        <w:rPr>
          <w:iCs/>
          <w:i/>
        </w:rPr>
        <w:t xml:space="preserve">Note: In the context of professional services, a "Lab Report" refers to an analytical audit or compliance study rather than a scientific experiment.</w:t>
      </w:r>
    </w:p>
    <w:bookmarkEnd w:id="20"/>
    <w:bookmarkStart w:id="21" w:name="executive-summary"/>
    <w:p>
      <w:pPr>
        <w:pStyle w:val="Heading2"/>
      </w:pPr>
      <w:r>
        <w:t xml:space="preserve">1. Executive Summary</w:t>
      </w:r>
    </w:p>
    <w:p>
      <w:pPr>
        <w:pStyle w:val="FirstParagraph"/>
      </w:pPr>
      <w:r>
        <w:t xml:space="preserve">This document serves as a comprehensive Lab Report detailing the operational framework, regulatory obligations, and ethical standards required of an Accountant practicing within the jurisdiction of Singapore Singapore. As a global financial hub known for its robust legal framework and transparency, Singapore demands a high degree of precision from financial professionals. This report analyzes how an Accountant must navigate the complex interplay between international accounting standards and local statutory requirements specific to this region.</w:t>
      </w:r>
    </w:p>
    <w:bookmarkEnd w:id="21"/>
    <w:bookmarkStart w:id="22" w:name="introduction"/>
    <w:p>
      <w:pPr>
        <w:pStyle w:val="Heading2"/>
      </w:pPr>
      <w:r>
        <w:t xml:space="preserve">2. Introduction</w:t>
      </w:r>
    </w:p>
    <w:p>
      <w:pPr>
        <w:pStyle w:val="FirstParagraph"/>
      </w:pPr>
      <w:r>
        <w:t xml:space="preserve">The role of the Accountant in Singapore Singapore is pivotal to maintaining the integrity of its financial markets. Unlike generic financial reporting, operations within this specific geographic and legal entity require adherence to a strict code of conduct established by local governing bodies. The objective of this Lab Report is to deconstruct these requirements, providing a clear understanding of how an Accountant functions as both a technical expert and a compliance officer in Singapore Singapore.</w:t>
      </w:r>
    </w:p>
    <w:p>
      <w:pPr>
        <w:pStyle w:val="BodyText"/>
      </w:pPr>
      <w:r>
        <w:t xml:space="preserve">The term "Lab Report" here implies an analytical examination or an audit trail, documenting the procedures followed by the Accountant to ensure that financial data meets the rigorous standards expected in this jurisdiction. This analysis highlights that being an Accountant in this context is not merely about balancing books; it is a regulatory discipline enforced by multiple agencies.</w:t>
      </w:r>
    </w:p>
    <w:bookmarkEnd w:id="22"/>
    <w:bookmarkStart w:id="25" w:name="Xb708bf022e0a1c7d1e65e0231c666f837808e2f"/>
    <w:p>
      <w:pPr>
        <w:pStyle w:val="Heading2"/>
      </w:pPr>
      <w:r>
        <w:t xml:space="preserve">3. Regulatory Framework and Governing Bodies</w:t>
      </w:r>
    </w:p>
    <w:bookmarkStart w:id="23" w:name="X92f889b2537f873f1fe5da9d538c3ae2be2a0b6"/>
    <w:p>
      <w:pPr>
        <w:pStyle w:val="Heading3"/>
      </w:pPr>
      <w:r>
        <w:t xml:space="preserve">The Accounting and Corporate Regulatory Authority (ACRA)</w:t>
      </w:r>
    </w:p>
    <w:p>
      <w:pPr>
        <w:pStyle w:val="FirstParagraph"/>
      </w:pPr>
      <w:r>
        <w:t xml:space="preserve">To function legally as an Accountant in Singapore Singapore, one must understand the supremacy of the Accounting and Corporate Regulatory Authority (ACRA). ACRA is the national regulator for public accountants. For any Accountant operating in this region, registration with ACRA is not optional; it is a fundamental prerequisite. The Lab Report findings indicate that failure to maintain valid membership with ACRA can result in immediate cessation of professional practice and severe legal penalties.</w:t>
      </w:r>
    </w:p>
    <w:bookmarkEnd w:id="23"/>
    <w:bookmarkStart w:id="24" w:name="X5fa371d1eb32ccb2f62475728dc5df9df238650"/>
    <w:p>
      <w:pPr>
        <w:pStyle w:val="Heading3"/>
      </w:pPr>
      <w:r>
        <w:t xml:space="preserve">The Institute of Singapore Chartered Accountants (ISCA)</w:t>
      </w:r>
    </w:p>
    <w:p>
      <w:pPr>
        <w:pStyle w:val="FirstParagraph"/>
      </w:pPr>
      <w:r>
        <w:t xml:space="preserve">Beyond statutory registration, the Institute of Singapore Chartered Accountants (ISCA) plays a critical role in maintaining professional standards. An Accountant in Singapore Singapore is expected to be a member or follow the ethical codes laid out by ISCA. This body ensures that the "Lab" of financial reporting produces consistent, comparable, and reliable data across all sectors.</w:t>
      </w:r>
    </w:p>
    <w:bookmarkEnd w:id="24"/>
    <w:bookmarkEnd w:id="25"/>
    <w:bookmarkStart w:id="26" w:name="X529edea7c9e5ceb9c24a7c41fa324daa346c138"/>
    <w:p>
      <w:pPr>
        <w:pStyle w:val="Heading2"/>
      </w:pPr>
      <w:r>
        <w:t xml:space="preserve">4. Methodology: Accounting Standards Application</w:t>
      </w:r>
    </w:p>
    <w:p>
      <w:pPr>
        <w:pStyle w:val="FirstParagraph"/>
      </w:pPr>
      <w:r>
        <w:t xml:space="preserve">In this analytical Lab Report, we examine the methodology employed by an Accountant when preparing financial statements in Singapore Singapore. The primary standard governing this process is the Financial Reporting Standards (FRS), which are aligned with International Financial Reporting Standards (IFRS).</w:t>
      </w:r>
    </w:p>
    <w:p>
      <w:pPr>
        <w:numPr>
          <w:ilvl w:val="0"/>
          <w:numId w:val="1001"/>
        </w:numPr>
        <w:pStyle w:val="Compact"/>
      </w:pPr>
      <w:r>
        <w:rPr>
          <w:bCs/>
          <w:b/>
        </w:rPr>
        <w:t xml:space="preserve">Data Collection:</w:t>
      </w:r>
      <w:r>
        <w:t xml:space="preserve"> </w:t>
      </w:r>
      <w:r>
        <w:t xml:space="preserve">The Accountant must gather raw financial data, ensuring that every transaction is documented according to the Goods and Services Tax (GST) laws of Singapore Singapore.</w:t>
      </w:r>
    </w:p>
    <w:p>
      <w:pPr>
        <w:numPr>
          <w:ilvl w:val="0"/>
          <w:numId w:val="1001"/>
        </w:numPr>
        <w:pStyle w:val="Compact"/>
      </w:pPr>
      <w:r>
        <w:rPr>
          <w:bCs/>
          <w:b/>
        </w:rPr>
        <w:t xml:space="preserve">Categorization:</w:t>
      </w:r>
      <w:r>
        <w:t xml:space="preserve"> </w:t>
      </w:r>
      <w:r>
        <w:t xml:space="preserve">Assets, liabilities, equity, income, and expenses are categorized strictly according to FRS guidelines. In this jurisdiction, specific attention must be paid to lease accounting (FRS 116) and revenue recognition (FRS 115).</w:t>
      </w:r>
    </w:p>
    <w:p>
      <w:pPr>
        <w:numPr>
          <w:ilvl w:val="0"/>
          <w:numId w:val="1001"/>
        </w:numPr>
        <w:pStyle w:val="Compact"/>
      </w:pPr>
      <w:r>
        <w:rPr>
          <w:bCs/>
          <w:b/>
        </w:rPr>
        <w:t xml:space="preserve">Compliance Check:</w:t>
      </w:r>
      <w:r>
        <w:t xml:space="preserve"> </w:t>
      </w:r>
      <w:r>
        <w:t xml:space="preserve">The Accountant performs a rigorous check against the Companies Act of Singapore Singapore. This ensures that financial statements comply with local corporate governance laws, which may differ slightly from international norms in specific areas such as director's duties.</w:t>
      </w:r>
    </w:p>
    <w:bookmarkEnd w:id="26"/>
    <w:bookmarkStart w:id="27" w:name="taxation-and-fiscal-compliance"/>
    <w:p>
      <w:pPr>
        <w:pStyle w:val="Heading2"/>
      </w:pPr>
      <w:r>
        <w:t xml:space="preserve">5. Taxation and Fiscal Compliance</w:t>
      </w:r>
    </w:p>
    <w:p>
      <w:pPr>
        <w:pStyle w:val="FirstParagraph"/>
      </w:pPr>
      <w:r>
        <w:t xml:space="preserve">A significant portion of an Accountant’s role in Singapore Singapore involves tax compliance. The Inland Revenue Authority of Singapore (IRAS) oversees this process. The Lab Report highlights that the Accountant must possess specialized knowledge of:</w:t>
      </w:r>
    </w:p>
    <w:p>
      <w:pPr>
        <w:numPr>
          <w:ilvl w:val="0"/>
          <w:numId w:val="1002"/>
        </w:numPr>
        <w:pStyle w:val="Compact"/>
      </w:pPr>
      <w:r>
        <w:rPr>
          <w:bCs/>
          <w:b/>
        </w:rPr>
        <w:t xml:space="preserve">Corporate Tax Rates:</w:t>
      </w:r>
      <w:r>
        <w:t xml:space="preserve"> </w:t>
      </w:r>
      <w:r>
        <w:t xml:space="preserve">Understanding the partial tax exemptions available for companies resident in Singapore Singapore.</w:t>
      </w:r>
    </w:p>
    <w:p>
      <w:pPr>
        <w:numPr>
          <w:ilvl w:val="0"/>
          <w:numId w:val="1002"/>
        </w:numPr>
        <w:pStyle w:val="Compact"/>
      </w:pPr>
      <w:r>
        <w:rPr>
          <w:bCs/>
          <w:b/>
        </w:rPr>
        <w:t xml:space="preserve">GST Registration:</w:t>
      </w:r>
      <w:r>
        <w:t xml:space="preserve"> </w:t>
      </w:r>
      <w:r>
        <w:t xml:space="preserve">Determining if a client meets the threshold for mandatory GST registration, currently set at S$1 million in annual taxable turnover.</w:t>
      </w:r>
    </w:p>
    <w:p>
      <w:pPr>
        <w:numPr>
          <w:ilvl w:val="0"/>
          <w:numId w:val="1002"/>
        </w:numPr>
        <w:pStyle w:val="Compact"/>
      </w:pPr>
      <w:r>
        <w:rPr>
          <w:bCs/>
          <w:b/>
        </w:rPr>
        <w:t xml:space="preserve">Tax Incentives:</w:t>
      </w:r>
    </w:p>
    <w:bookmarkEnd w:id="27"/>
    <w:bookmarkStart w:id="28" w:name="Xa84d391acb24e2457f53fd617e24f42f572380d"/>
    <w:p>
      <w:pPr>
        <w:pStyle w:val="Heading2"/>
      </w:pPr>
      <w:r>
        <w:t xml:space="preserve">6. Ethical Considerations and Anti-Money Laundering</w:t>
      </w:r>
    </w:p>
    <w:p>
      <w:pPr>
        <w:pStyle w:val="FirstParagraph"/>
      </w:pPr>
      <w:r>
        <w:t xml:space="preserve">The integrity of the financial system in Singapore Singapore relies heavily on anti-money laundering (AML) protocols. An Accountant is designated as a Reporting Institution under the Corruption, Drug Trafficking and Other Serious Crimes (Confiscation of Benefits) Act. Therefore, this Lab Report emphasizes that an Accountant must conduct due diligence on all clients.</w:t>
      </w:r>
    </w:p>
    <w:p>
      <w:pPr>
        <w:pStyle w:val="BodyText"/>
      </w:pPr>
      <w:r>
        <w:t xml:space="preserve">This includes:</w:t>
      </w:r>
    </w:p>
    <w:p>
      <w:pPr>
        <w:numPr>
          <w:ilvl w:val="0"/>
          <w:numId w:val="1003"/>
        </w:numPr>
        <w:pStyle w:val="Compact"/>
      </w:pPr>
      <w:r>
        <w:rPr>
          <w:bCs/>
          <w:b/>
        </w:rPr>
        <w:t xml:space="preserve">Know Your Customer (KYC):</w:t>
      </w:r>
      <w:r>
        <w:t xml:space="preserve"> </w:t>
      </w:r>
      <w:r>
        <w:t xml:space="preserve">Verifying the identity of beneficial owners in Singapore Singapore.</w:t>
      </w:r>
    </w:p>
    <w:p>
      <w:pPr>
        <w:numPr>
          <w:ilvl w:val="0"/>
          <w:numId w:val="1003"/>
        </w:numPr>
        <w:pStyle w:val="Compact"/>
      </w:pPr>
      <w:r>
        <w:rPr>
          <w:bCs/>
          <w:b/>
        </w:rPr>
        <w:t xml:space="preserve">Mandatory Reporting:</w:t>
      </w:r>
      <w:r>
        <w:t xml:space="preserve">Filing Suspicious Transaction Reports (STRs) with the Commercial Affairs Department if illicit activities are suspected.</w:t>
      </w:r>
    </w:p>
    <w:bookmarkEnd w:id="28"/>
    <w:bookmarkStart w:id="29" w:name="discussion-and-analysis"/>
    <w:p>
      <w:pPr>
        <w:pStyle w:val="Heading2"/>
      </w:pPr>
      <w:r>
        <w:t xml:space="preserve">7. Discussion and Analysis</w:t>
      </w:r>
    </w:p>
    <w:p>
      <w:pPr>
        <w:pStyle w:val="FirstParagraph"/>
      </w:pPr>
      <w:r>
        <w:t xml:space="preserve">The analysis reveals that the role of an Accountant in Singapore Singapore is highly specialized. It requires a continuous learning mindset due to the frequent updates in regulations by ACRA and IRAS. The "Lab" environment for an Accountant is dynamic, requiring constant adaptation to new digital reporting standards and cybersecurity protocols.</w:t>
      </w:r>
    </w:p>
    <w:p>
      <w:pPr>
        <w:pStyle w:val="BodyText"/>
      </w:pPr>
      <w:r>
        <w:t xml:space="preserve">Furthermore, the competitive nature of Singapore as a business hub means that Accountants must offer value-added services beyond compliance, such as strategic financial planning. However, this cannot come at the expense of regulatory adherence. The dual pressure of commercial efficiency and strict legal compliance defines the professional existence of an Accountant in this region.</w:t>
      </w:r>
    </w:p>
    <w:bookmarkEnd w:id="29"/>
    <w:bookmarkStart w:id="30" w:name="conclusion"/>
    <w:p>
      <w:pPr>
        <w:pStyle w:val="Heading2"/>
      </w:pPr>
      <w:r>
        <w:t xml:space="preserve">8. Conclusion</w:t>
      </w:r>
    </w:p>
    <w:p>
      <w:pPr>
        <w:pStyle w:val="FirstParagraph"/>
      </w:pPr>
      <w:r>
        <w:t xml:space="preserve">This Lab Report concludes that the profession of an Accountant in Singapore Singapore is governed by a robust framework designed to ensure transparency, accountability, and global competitiveness. The interplay between ACRA, ISCA, and IRAS creates a rigorous environment where technical accounting skills must be matched with strong ethical fortitude.</w:t>
      </w:r>
    </w:p>
    <w:p>
      <w:pPr>
        <w:pStyle w:val="BodyText"/>
      </w:pPr>
      <w:r>
        <w:t xml:space="preserve">For any professional seeking to operate as an Accountant in this jurisdiction, adherence to the standards outlined in this report is mandatory. The precision required in Singapore Singapore sets a benchmark for quality that is recognized globally, making the local regulatory landscape both challenging and rewarding for qualified financial practitioners.</w:t>
      </w:r>
    </w:p>
    <w:bookmarkEnd w:id="30"/>
    <w:p>
      <w:pPr>
        <w:pStyle w:val="BodyText"/>
      </w:pPr>
      <w:r>
        <w:rPr>
          <w:bCs/>
          <w:b/>
        </w:rPr>
        <w:t xml:space="preserve">Disclaimer:</w:t>
      </w:r>
      <w:r>
        <w:t xml:space="preserve"> </w:t>
      </w:r>
      <w:r>
        <w:t xml:space="preserve">This document is a simulated Lab Report for educational purposes regarding professional standards. It does not constitute legal advice.</w:t>
      </w:r>
    </w:p>
    <w:p>
      <w:pPr>
        <w:pStyle w:val="BodyText"/>
      </w:pPr>
      <w:r>
        <w:t xml:space="preserve">© 2023 Professional Standards Analysis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Accounting Standards and Regulatory Compliance in Singapore</dc:title>
  <dc:creator/>
  <dc:language>en</dc:language>
  <cp:keywords/>
  <dcterms:created xsi:type="dcterms:W3CDTF">2026-07-29T16:14:34Z</dcterms:created>
  <dcterms:modified xsi:type="dcterms:W3CDTF">2026-07-29T16:14:34Z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